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6D1F3" w14:textId="434745AC" w:rsidR="005C42FE" w:rsidRDefault="005C42FE" w:rsidP="005D6EDD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pacing w:val="34"/>
          <w:sz w:val="24"/>
          <w:szCs w:val="2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7235">
        <w:rPr>
          <w:rFonts w:ascii="Times New Roman" w:hAnsi="Times New Roman" w:cs="Times New Roman"/>
          <w:b/>
          <w:color w:val="000000" w:themeColor="text1"/>
          <w:spacing w:val="34"/>
          <w:sz w:val="24"/>
          <w:szCs w:val="2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ДОКЛАД</w:t>
      </w:r>
    </w:p>
    <w:p w14:paraId="2048C1A9" w14:textId="77777777" w:rsidR="00517235" w:rsidRPr="00517235" w:rsidRDefault="00517235" w:rsidP="005D6EDD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pacing w:val="34"/>
          <w:sz w:val="24"/>
          <w:szCs w:val="2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9A8321" w14:textId="01C76B61" w:rsidR="005C42FE" w:rsidRPr="00DE095F" w:rsidRDefault="005C42FE" w:rsidP="00DE095F">
      <w:pPr>
        <w:spacing w:after="360" w:line="36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val="bg-BG"/>
        </w:rPr>
      </w:pPr>
      <w:r w:rsidRPr="00517235">
        <w:rPr>
          <w:rFonts w:ascii="Times New Roman" w:eastAsia="Arial" w:hAnsi="Times New Roman" w:cs="Times New Roman"/>
          <w:i/>
          <w:iCs/>
          <w:sz w:val="24"/>
          <w:szCs w:val="24"/>
          <w:lang w:val="bg-BG"/>
        </w:rPr>
        <w:t>Относно: Наблюдение</w:t>
      </w:r>
      <w:r w:rsidR="00ED2C0D" w:rsidRPr="00517235">
        <w:rPr>
          <w:rFonts w:ascii="Times New Roman" w:eastAsia="Arial" w:hAnsi="Times New Roman" w:cs="Times New Roman"/>
          <w:i/>
          <w:iCs/>
          <w:sz w:val="24"/>
          <w:szCs w:val="24"/>
          <w:lang w:val="bg-BG"/>
        </w:rPr>
        <w:t xml:space="preserve"> на</w:t>
      </w:r>
      <w:r w:rsidRPr="00517235">
        <w:rPr>
          <w:rFonts w:ascii="Times New Roman" w:eastAsia="Arial" w:hAnsi="Times New Roman" w:cs="Times New Roman"/>
          <w:i/>
          <w:iCs/>
          <w:sz w:val="24"/>
          <w:szCs w:val="24"/>
          <w:lang w:val="bg-BG"/>
        </w:rPr>
        <w:t xml:space="preserve"> </w:t>
      </w:r>
      <w:r w:rsidR="00ED2C0D" w:rsidRPr="00517235">
        <w:rPr>
          <w:rFonts w:ascii="Times New Roman" w:eastAsia="Arial" w:hAnsi="Times New Roman" w:cs="Times New Roman"/>
          <w:i/>
          <w:iCs/>
          <w:sz w:val="24"/>
          <w:szCs w:val="24"/>
          <w:lang w:val="bg-BG"/>
        </w:rPr>
        <w:t>изпълнение на мерките за предотвратяване, намаляване или възможно най-пълно компенсиране на предполагаемите неблагоприятни последствия върху околната среда и човешкото здраве, по Програма ИНТЕРРЕГ VI-A Гърция-България 2021 – 2027, за периода от ноември 2022 г. до декември 2025 г.</w:t>
      </w:r>
    </w:p>
    <w:p w14:paraId="7EA57A20" w14:textId="77777777" w:rsidR="005C42FE" w:rsidRPr="00517235" w:rsidRDefault="005C42FE" w:rsidP="005D6EDD">
      <w:pPr>
        <w:pStyle w:val="ListParagraph"/>
        <w:numPr>
          <w:ilvl w:val="0"/>
          <w:numId w:val="13"/>
        </w:numPr>
        <w:spacing w:before="120" w:after="0" w:line="360" w:lineRule="auto"/>
        <w:ind w:left="567" w:hanging="491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>Основание за изготвяне на доклада</w:t>
      </w: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ab/>
      </w:r>
    </w:p>
    <w:p w14:paraId="2D4B289E" w14:textId="20B18915" w:rsidR="008D4715" w:rsidRPr="00517235" w:rsidRDefault="005C42FE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Настоящият доклад се изготвя в изпълнение на Мярка 1 от Ста</w:t>
      </w:r>
      <w:r w:rsidR="00AE1715" w:rsidRPr="00517235">
        <w:rPr>
          <w:rFonts w:ascii="Times New Roman" w:hAnsi="Times New Roman" w:cs="Times New Roman"/>
          <w:sz w:val="24"/>
          <w:szCs w:val="24"/>
          <w:lang w:val="bg-BG"/>
        </w:rPr>
        <w:t>новище по екологична оценка № 4-3/2023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г. на Министерството на околната среда и водите за съгласуване на Програм</w:t>
      </w:r>
      <w:r w:rsidR="007D797B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а ИНТЕРРЕГ </w:t>
      </w:r>
      <w:r w:rsidR="00AE1715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VI-A Гърция-България </w:t>
      </w:r>
      <w:r w:rsidR="008D4715" w:rsidRPr="00517235">
        <w:rPr>
          <w:rFonts w:ascii="Times New Roman" w:hAnsi="Times New Roman" w:cs="Times New Roman"/>
          <w:sz w:val="24"/>
          <w:szCs w:val="24"/>
          <w:lang w:val="bg-BG"/>
        </w:rPr>
        <w:t>2021-2027</w:t>
      </w:r>
      <w:r w:rsidR="00307353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r w:rsidR="00307353" w:rsidRPr="00307353">
        <w:rPr>
          <w:rFonts w:ascii="Times New Roman" w:hAnsi="Times New Roman" w:cs="Times New Roman"/>
          <w:sz w:val="24"/>
          <w:szCs w:val="24"/>
          <w:lang w:val="bg-BG"/>
        </w:rPr>
        <w:t xml:space="preserve">одобрена с Решение № C(2022) 6635 на </w:t>
      </w:r>
      <w:r w:rsidR="00307353">
        <w:rPr>
          <w:rFonts w:ascii="Times New Roman" w:hAnsi="Times New Roman" w:cs="Times New Roman"/>
          <w:sz w:val="24"/>
          <w:szCs w:val="24"/>
          <w:lang w:val="bg-BG"/>
        </w:rPr>
        <w:t>Европейската комисия</w:t>
      </w:r>
      <w:r w:rsidR="00307353" w:rsidRPr="00307353">
        <w:rPr>
          <w:rFonts w:ascii="Times New Roman" w:hAnsi="Times New Roman" w:cs="Times New Roman"/>
          <w:sz w:val="24"/>
          <w:szCs w:val="24"/>
          <w:lang w:val="bg-BG"/>
        </w:rPr>
        <w:t xml:space="preserve"> от 13.9.2022 г.</w:t>
      </w:r>
      <w:r w:rsidR="00307353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8D4715" w:rsidRPr="005172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37620D24" w14:textId="77777777" w:rsidR="005C42FE" w:rsidRPr="00517235" w:rsidRDefault="005C42FE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Докладът има за цел да представи предприетите действия по наблюдение и контрол на въздействието върху околната среда и човешкото здраве при изпълнението на Програмата, както и степента на прилагане на мерките, определени в становището по екологична оценка, в рамките на периода от ноември 2022 г. до декември 2025 г.</w:t>
      </w:r>
    </w:p>
    <w:p w14:paraId="479EEC74" w14:textId="1D759D78" w:rsidR="005C42FE" w:rsidRDefault="00ED2C0D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5C42FE" w:rsidRPr="00517235">
        <w:rPr>
          <w:rFonts w:ascii="Times New Roman" w:hAnsi="Times New Roman" w:cs="Times New Roman"/>
          <w:sz w:val="24"/>
          <w:szCs w:val="24"/>
          <w:lang w:val="bg-BG"/>
        </w:rPr>
        <w:t>оклад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ът</w:t>
      </w:r>
      <w:r w:rsidR="005C42FE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изготвен от </w:t>
      </w:r>
      <w:r w:rsidR="005C42FE" w:rsidRPr="00517235">
        <w:rPr>
          <w:rFonts w:ascii="Times New Roman" w:hAnsi="Times New Roman" w:cs="Times New Roman"/>
          <w:sz w:val="24"/>
          <w:szCs w:val="24"/>
          <w:lang w:val="bg-BG"/>
        </w:rPr>
        <w:t>дирекция „Управление на териториалното сътрудничество“ към Министерството на регионално</w:t>
      </w:r>
      <w:r w:rsidR="00CC0B0F" w:rsidRPr="00517235">
        <w:rPr>
          <w:rFonts w:ascii="Times New Roman" w:hAnsi="Times New Roman" w:cs="Times New Roman"/>
          <w:sz w:val="24"/>
          <w:szCs w:val="24"/>
          <w:lang w:val="bg-BG"/>
        </w:rPr>
        <w:t>то развитие и благоустройството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 xml:space="preserve"> - Национален орган на програма </w:t>
      </w:r>
      <w:r w:rsidR="00506D34" w:rsidRPr="00517235">
        <w:rPr>
          <w:rFonts w:ascii="Times New Roman" w:hAnsi="Times New Roman" w:cs="Times New Roman"/>
          <w:sz w:val="24"/>
          <w:szCs w:val="24"/>
          <w:lang w:val="bg-BG"/>
        </w:rPr>
        <w:t>ИНТЕРРЕГ VI-A Гърция-България 2021-2027</w:t>
      </w:r>
      <w:r w:rsidR="00CC0B0F" w:rsidRPr="005172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36E1F7D5" w14:textId="15FD97CA" w:rsidR="005C42FE" w:rsidRPr="00517235" w:rsidRDefault="00A82AE7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Управляващ орган на програмата е </w:t>
      </w:r>
      <w:r w:rsidR="00BD7617" w:rsidRPr="00BD7617">
        <w:rPr>
          <w:rFonts w:ascii="Times New Roman" w:hAnsi="Times New Roman" w:cs="Times New Roman"/>
          <w:sz w:val="24"/>
          <w:szCs w:val="24"/>
          <w:lang w:val="bg-BG"/>
        </w:rPr>
        <w:t>Министерството на икономиката и финансите на Гърция</w:t>
      </w:r>
      <w:r w:rsidR="00BD76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Съвместен секретариат на програмата е ситуиран в гр. Солун, Гърция и е самостоятелна структура към </w:t>
      </w:r>
      <w:r w:rsidR="003E0AD0" w:rsidRPr="003E0AD0">
        <w:rPr>
          <w:rFonts w:ascii="Times New Roman" w:hAnsi="Times New Roman" w:cs="Times New Roman"/>
          <w:sz w:val="24"/>
          <w:szCs w:val="24"/>
          <w:lang w:val="bg-BG"/>
        </w:rPr>
        <w:t>Министерството на икономиката и финансите на Гърция.</w:t>
      </w:r>
      <w:r w:rsidR="003E0AD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15ED6A1E" w14:textId="77777777" w:rsidR="005C42FE" w:rsidRPr="00517235" w:rsidRDefault="005C42FE" w:rsidP="005D6EDD">
      <w:pPr>
        <w:pStyle w:val="ListParagraph"/>
        <w:numPr>
          <w:ilvl w:val="0"/>
          <w:numId w:val="13"/>
        </w:numPr>
        <w:spacing w:before="120" w:after="0" w:line="360" w:lineRule="auto"/>
        <w:ind w:left="567" w:hanging="491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>Обхват на наблюдението и контрола</w:t>
      </w:r>
    </w:p>
    <w:p w14:paraId="139B8B1A" w14:textId="770B74CA" w:rsidR="00006E13" w:rsidRPr="00517235" w:rsidRDefault="00006E13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491E8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блюдението и контролът обхваща </w:t>
      </w:r>
      <w:r w:rsidR="00506D34" w:rsidRPr="00506D34">
        <w:rPr>
          <w:rFonts w:ascii="Times New Roman" w:hAnsi="Times New Roman" w:cs="Times New Roman"/>
          <w:sz w:val="24"/>
          <w:szCs w:val="24"/>
          <w:lang w:val="bg-BG"/>
        </w:rPr>
        <w:t>дейностите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06D34" w:rsidRPr="00506D34">
        <w:rPr>
          <w:rFonts w:ascii="Times New Roman" w:hAnsi="Times New Roman" w:cs="Times New Roman"/>
          <w:sz w:val="24"/>
          <w:szCs w:val="24"/>
          <w:lang w:val="bg-BG"/>
        </w:rPr>
        <w:t xml:space="preserve"> свързани с изпълнение на приоритетите </w:t>
      </w:r>
      <w:r w:rsidR="00506D34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на Програма ИНТЕРРЕГ </w:t>
      </w:r>
      <w:r w:rsidR="00506D34" w:rsidRPr="00517235">
        <w:rPr>
          <w:rFonts w:ascii="Times New Roman" w:hAnsi="Times New Roman" w:cs="Times New Roman"/>
          <w:sz w:val="24"/>
          <w:szCs w:val="24"/>
        </w:rPr>
        <w:t>VI</w:t>
      </w:r>
      <w:r w:rsidR="00506D34" w:rsidRPr="00517235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506D34" w:rsidRPr="00517235">
        <w:rPr>
          <w:rFonts w:ascii="Times New Roman" w:hAnsi="Times New Roman" w:cs="Times New Roman"/>
          <w:sz w:val="24"/>
          <w:szCs w:val="24"/>
        </w:rPr>
        <w:t>A</w:t>
      </w:r>
      <w:r w:rsidR="00506D34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Гърция–България 2021–2027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491E8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територията на четирите области, които участват в </w:t>
      </w:r>
      <w:r w:rsidR="00307353">
        <w:rPr>
          <w:rFonts w:ascii="Times New Roman" w:hAnsi="Times New Roman" w:cs="Times New Roman"/>
          <w:sz w:val="24"/>
          <w:szCs w:val="24"/>
          <w:lang w:val="bg-BG"/>
        </w:rPr>
        <w:t>програмата</w:t>
      </w:r>
      <w:r w:rsidR="00491E8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от българска страна: Благоевград, Смолян, Хасково и Кърджали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, както следва: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513410E1" w14:textId="42E647D7" w:rsidR="00006E13" w:rsidRPr="00FC2EA7" w:rsidRDefault="00006E13" w:rsidP="005D6EDD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Приоритет 1 – По-устойчив и зелен трансграничен регион (</w:t>
      </w:r>
      <w:r w:rsidR="00506D34" w:rsidRPr="00FC2E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Цел на политиката </w:t>
      </w: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>2 По-зелена Европа)</w:t>
      </w:r>
    </w:p>
    <w:p w14:paraId="049DAF74" w14:textId="2A3B6506" w:rsidR="00ED2958" w:rsidRPr="00517235" w:rsidRDefault="00ED2958" w:rsidP="005D6EDD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2.4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 Насърчаване на адаптирането към изменението на климата, предотвратяването на риска от бедствия и устойчивостта, като се вземат предвид екосистемни подходи</w:t>
      </w:r>
    </w:p>
    <w:p w14:paraId="3060A027" w14:textId="439F5AD7" w:rsidR="00ED2958" w:rsidRPr="00517235" w:rsidRDefault="00ED2958" w:rsidP="005D6EDD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2.6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 Насърчаване на прехода към кръгова и основаваща се на ефективно използване на ресурсите икономика</w:t>
      </w:r>
    </w:p>
    <w:p w14:paraId="05ECB5B0" w14:textId="536CC4C5" w:rsidR="00ED2958" w:rsidRPr="00517235" w:rsidRDefault="00ED2958" w:rsidP="005D6EDD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2.7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 Подобряване на защитата и опазването на природата, биологичното разнообразие и екологосъобразната инфраструктура, включително в градските райони, и намаляване на всички форми на замърсяване</w:t>
      </w:r>
    </w:p>
    <w:p w14:paraId="48D678FE" w14:textId="5674BD43" w:rsidR="00F12A3F" w:rsidRPr="00FC2EA7" w:rsidRDefault="00F12A3F" w:rsidP="005D6EDD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>Приоритет 2 – По-достъпен трансграничен регион (</w:t>
      </w:r>
      <w:r w:rsidR="00DE095F">
        <w:rPr>
          <w:rFonts w:ascii="Times New Roman" w:hAnsi="Times New Roman" w:cs="Times New Roman"/>
          <w:b/>
          <w:sz w:val="24"/>
          <w:szCs w:val="24"/>
          <w:lang w:val="bg-BG"/>
        </w:rPr>
        <w:t xml:space="preserve">Цел на политиката 3 </w:t>
      </w: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>По-добре свързана Европа)</w:t>
      </w:r>
    </w:p>
    <w:p w14:paraId="66EC8ED9" w14:textId="6D1F918E" w:rsidR="00172F30" w:rsidRPr="00517235" w:rsidRDefault="00172F30" w:rsidP="005D6EDD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3.2: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Развитие и засилване на устойчива, устойчива на изменението на климата, интелигентна и интермодална мобилност на национално, регионално и местно равнище, включително по-добър достъп до TEN-T и трансгранична мобилност.</w:t>
      </w:r>
    </w:p>
    <w:p w14:paraId="367C23F3" w14:textId="6F1FE653" w:rsidR="00C74288" w:rsidRPr="00FC2EA7" w:rsidRDefault="00C74288" w:rsidP="005D6EDD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>Приоритет 3 – По-приобщаващ трансграничен регион (</w:t>
      </w:r>
      <w:r w:rsidR="001559E3" w:rsidRPr="00FC2E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Цел на политиката </w:t>
      </w: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4 По-социална и по-приобщаваща Европа) </w:t>
      </w:r>
    </w:p>
    <w:p w14:paraId="5366A1B6" w14:textId="35D3F42A" w:rsidR="00C74288" w:rsidRPr="00517235" w:rsidRDefault="00C74288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4.2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 Подобряване на равния достъп до приобщаващи и качествени услуги в областта на образованието, обучението и ученето през целия живот чрез развитие на достъпна инфраструктура, включително чрез насърчаване на устойчивостта на образованието и обучението от разстояние и в електронна среда</w:t>
      </w:r>
    </w:p>
    <w:p w14:paraId="2356AA4C" w14:textId="1F4ACC65" w:rsidR="00C74288" w:rsidRPr="005D6EDD" w:rsidRDefault="00C74288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Специфична цел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4.6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 Засилване на ролята на културата и устойчивия туризъм за икономическото развитие, социалното приобщаване и социалните иновации</w:t>
      </w:r>
    </w:p>
    <w:p w14:paraId="3DC57DCC" w14:textId="77777777" w:rsidR="00D47C40" w:rsidRPr="00517235" w:rsidRDefault="00D47C40" w:rsidP="005D6ED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bg-BG"/>
        </w:rPr>
      </w:pPr>
    </w:p>
    <w:p w14:paraId="567C787A" w14:textId="0FD3B3A3" w:rsidR="005C42FE" w:rsidRPr="00517235" w:rsidRDefault="00D47C40" w:rsidP="005D6EDD">
      <w:pPr>
        <w:pStyle w:val="ListParagraph"/>
        <w:numPr>
          <w:ilvl w:val="0"/>
          <w:numId w:val="13"/>
        </w:numPr>
        <w:spacing w:before="240" w:after="0" w:line="360" w:lineRule="auto"/>
        <w:ind w:left="567" w:hanging="493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Обобщена информация за </w:t>
      </w: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>напредък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а</w:t>
      </w: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5C42FE" w:rsidRPr="00517235">
        <w:rPr>
          <w:rFonts w:ascii="Times New Roman" w:hAnsi="Times New Roman" w:cs="Times New Roman"/>
          <w:b/>
          <w:sz w:val="24"/>
          <w:szCs w:val="24"/>
          <w:lang w:val="bg-BG"/>
        </w:rPr>
        <w:t>по изпълнението на Програмата</w:t>
      </w:r>
    </w:p>
    <w:p w14:paraId="0026C567" w14:textId="0D21E5A7" w:rsidR="00BF4739" w:rsidRPr="00517235" w:rsidRDefault="00BF4739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Към момента по </w:t>
      </w:r>
      <w:r w:rsidR="00D64959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Програмата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се изпълняват 3 стратегически проекта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>, с акроними: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Floodguard 2, Flood Protection 2 и CrossBo2</w:t>
      </w:r>
      <w:r w:rsidR="001A55C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, като първият се очаква да завърши изпълнението си до края на 2027 г., а другите </w:t>
      </w:r>
      <w:r w:rsidR="00506D34">
        <w:rPr>
          <w:rFonts w:ascii="Times New Roman" w:hAnsi="Times New Roman" w:cs="Times New Roman"/>
          <w:sz w:val="24"/>
          <w:szCs w:val="24"/>
          <w:lang w:val="bg-BG"/>
        </w:rPr>
        <w:t xml:space="preserve">два </w:t>
      </w:r>
      <w:r w:rsidR="001A55CA" w:rsidRPr="00517235">
        <w:rPr>
          <w:rFonts w:ascii="Times New Roman" w:hAnsi="Times New Roman" w:cs="Times New Roman"/>
          <w:sz w:val="24"/>
          <w:szCs w:val="24"/>
          <w:lang w:val="bg-BG"/>
        </w:rPr>
        <w:t>до края на 2028 г.</w:t>
      </w:r>
    </w:p>
    <w:p w14:paraId="6A6FB52A" w14:textId="765AF8A6" w:rsidR="00BF4739" w:rsidRPr="00517235" w:rsidRDefault="001A55CA" w:rsidP="005D6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Предстои сключването на договори за субсидия </w:t>
      </w:r>
      <w:r w:rsidR="00ED2C0D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с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одобрените за финансиране 21 проекта в рамките на Първа покана за набиране на проектни предложения по Приоритет 1 – По-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устойчива и по-зелена трансгранична територия и Приоритет 3 – По-приобщаваща трансгранична територия. </w:t>
      </w:r>
    </w:p>
    <w:p w14:paraId="5A8607AA" w14:textId="13901011" w:rsidR="001A55CA" w:rsidRPr="00517235" w:rsidRDefault="006E5E6A" w:rsidP="005D6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Предстои оценка и сключване на договори за субсидия </w:t>
      </w:r>
      <w:r w:rsidR="00A82AE7">
        <w:rPr>
          <w:rFonts w:ascii="Times New Roman" w:hAnsi="Times New Roman" w:cs="Times New Roman"/>
          <w:sz w:val="24"/>
          <w:szCs w:val="24"/>
          <w:lang w:val="bg-BG"/>
        </w:rPr>
        <w:t xml:space="preserve">с проектите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по Пета и Шеста </w:t>
      </w:r>
      <w:r w:rsidR="00A82AE7">
        <w:rPr>
          <w:rFonts w:ascii="Times New Roman" w:hAnsi="Times New Roman" w:cs="Times New Roman"/>
          <w:sz w:val="24"/>
          <w:szCs w:val="24"/>
          <w:lang w:val="bg-BG"/>
        </w:rPr>
        <w:t xml:space="preserve">целеви </w:t>
      </w:r>
      <w:r w:rsidR="00A82AE7" w:rsidRPr="00517235">
        <w:rPr>
          <w:rFonts w:ascii="Times New Roman" w:hAnsi="Times New Roman" w:cs="Times New Roman"/>
          <w:sz w:val="24"/>
          <w:szCs w:val="24"/>
          <w:lang w:val="bg-BG"/>
        </w:rPr>
        <w:t>покан</w:t>
      </w:r>
      <w:r w:rsidR="00A82AE7">
        <w:rPr>
          <w:rFonts w:ascii="Times New Roman" w:hAnsi="Times New Roman" w:cs="Times New Roman"/>
          <w:sz w:val="24"/>
          <w:szCs w:val="24"/>
          <w:lang w:val="bg-BG"/>
        </w:rPr>
        <w:t>и, съответно по Приоритет 1, СЦ 2.6 и по Приоритет 3, СЦ 4.6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A82AE7">
        <w:rPr>
          <w:rFonts w:ascii="Times New Roman" w:hAnsi="Times New Roman" w:cs="Times New Roman"/>
          <w:sz w:val="24"/>
          <w:szCs w:val="24"/>
          <w:lang w:val="bg-BG"/>
        </w:rPr>
        <w:t xml:space="preserve"> Проектите по тези две покани ще се изпълняват в рамките на Фонд за малки проекти, управлява от единствен бенефициент – Регион Източна Македония и Тракия на Гърция, като крайни ползватели на помощта ще бъдат микро, малки и средни предприятия от трансграничния регион.</w:t>
      </w:r>
    </w:p>
    <w:p w14:paraId="6ADEE1B0" w14:textId="4A651D8F" w:rsidR="006E5E6A" w:rsidRPr="00517235" w:rsidRDefault="00D4579D" w:rsidP="005D6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В процедурите за подбор на проекти по Програма ИНТЕРРЕГ VI-A Гърция–България 2021–2027 са въведени конкретни инструменти за изпълнение на условията от Становище по екологична оценка № 4-3/2023 г., включително чрез задължителните приложения „Compatibility Check with SEA“ и „Climate Endurance Validation Report“, както и чрез изисквания за съответствие с приложимото екологично законодателство, Плановете за управление на риска от наводнения и Плановете за управление на речните басейни. Тези механизми осигуряват интегриране на екологичните изисквания на етап кандидатстване, оценка и изпълнение на проектите.</w:t>
      </w:r>
    </w:p>
    <w:p w14:paraId="4163E116" w14:textId="77777777" w:rsidR="00377E49" w:rsidRPr="00517235" w:rsidRDefault="00377E49" w:rsidP="005D6E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038507F0" w14:textId="6DEFFB99" w:rsidR="005C42FE" w:rsidRPr="00517235" w:rsidRDefault="00DA1342" w:rsidP="005D6EDD">
      <w:pPr>
        <w:pStyle w:val="ListParagraph"/>
        <w:numPr>
          <w:ilvl w:val="0"/>
          <w:numId w:val="13"/>
        </w:numPr>
        <w:spacing w:before="120" w:after="0" w:line="360" w:lineRule="auto"/>
        <w:ind w:left="567" w:hanging="491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Информация за </w:t>
      </w: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публикувани </w:t>
      </w:r>
      <w:r w:rsidR="005C42FE"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покани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 набиране на проекти предложения </w:t>
      </w:r>
      <w:r w:rsidR="005C42FE" w:rsidRPr="00517235">
        <w:rPr>
          <w:rFonts w:ascii="Times New Roman" w:hAnsi="Times New Roman" w:cs="Times New Roman"/>
          <w:b/>
          <w:sz w:val="24"/>
          <w:szCs w:val="24"/>
          <w:lang w:val="bg-BG"/>
        </w:rPr>
        <w:t>по Програмата</w:t>
      </w:r>
    </w:p>
    <w:p w14:paraId="218E445A" w14:textId="18C519B2" w:rsidR="005C42FE" w:rsidRPr="00517235" w:rsidRDefault="001A4D70" w:rsidP="005D6EDD">
      <w:pPr>
        <w:pStyle w:val="ListParagraph"/>
        <w:numPr>
          <w:ilvl w:val="0"/>
          <w:numId w:val="9"/>
        </w:numPr>
        <w:spacing w:before="120" w:after="0" w:line="36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eastAsia="Calibri" w:hAnsi="Times New Roman" w:cs="Times New Roman"/>
          <w:sz w:val="24"/>
          <w:szCs w:val="24"/>
          <w:lang w:val="bg-BG"/>
        </w:rPr>
        <w:t>Покана за набиране на проектни предложения по Приоритет 1 – По-устойчива и по-зелена трансгранична територия и Приоритет 3 – По-приобщаваща трансгранична територия –</w:t>
      </w:r>
      <w:r w:rsidR="00D47C4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Поканата е организирана на две фази, като следва: </w:t>
      </w:r>
      <w:r w:rsidRPr="00517235">
        <w:rPr>
          <w:rFonts w:ascii="Times New Roman" w:eastAsia="Calibri" w:hAnsi="Times New Roman" w:cs="Times New Roman"/>
          <w:sz w:val="24"/>
          <w:szCs w:val="24"/>
          <w:lang w:val="bg-BG"/>
        </w:rPr>
        <w:t>Първа фаза</w:t>
      </w:r>
      <w:r w:rsidR="00D47C4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подаване на проектни концепции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C42FE" w:rsidRPr="00517235">
        <w:rPr>
          <w:rFonts w:ascii="Times New Roman" w:hAnsi="Times New Roman" w:cs="Times New Roman"/>
          <w:sz w:val="24"/>
          <w:szCs w:val="24"/>
          <w:lang w:val="bg-BG"/>
        </w:rPr>
        <w:t>(</w:t>
      </w:r>
      <w:hyperlink r:id="rId8" w:history="1"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https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://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.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greece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bulgaria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.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eu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/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call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/1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st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call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for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common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project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</w:rPr>
          <w:t>proposals</w:t>
        </w:r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/</w:t>
        </w:r>
      </w:hyperlink>
      <w:r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6E5E6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E5E6A" w:rsidRPr="00517235">
        <w:rPr>
          <w:rFonts w:ascii="Times New Roman" w:eastAsia="Calibri" w:hAnsi="Times New Roman" w:cs="Times New Roman"/>
          <w:sz w:val="24"/>
          <w:szCs w:val="24"/>
          <w:lang w:val="bg-BG"/>
        </w:rPr>
        <w:t>и Втора фаза</w:t>
      </w:r>
      <w:r w:rsidR="00D47C4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подаване на пълни апликационни форми от селектирани концепции от първа фаза </w:t>
      </w:r>
      <w:r w:rsidR="006E5E6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hyperlink r:id="rId9" w:history="1">
        <w:r w:rsidR="006E5E6A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https://www.greece-bulgaria.eu/call/stage-b-1st-call-for-common-project-proposals/</w:t>
        </w:r>
      </w:hyperlink>
      <w:r w:rsidR="006E5E6A"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349FE854" w14:textId="1D3D1EC2" w:rsidR="004F621A" w:rsidRPr="00DE095F" w:rsidRDefault="004F621A" w:rsidP="00DE09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095F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Първа фаза на поканата – подаване на Концепция на проектната идея, </w:t>
      </w:r>
      <w:r w:rsidR="0047179E" w:rsidRPr="00DE095F">
        <w:rPr>
          <w:rFonts w:ascii="Times New Roman" w:hAnsi="Times New Roman" w:cs="Times New Roman"/>
          <w:sz w:val="24"/>
          <w:szCs w:val="24"/>
          <w:lang w:val="bg-BG"/>
        </w:rPr>
        <w:t xml:space="preserve">Насоките за кандидаттване не включват задължителни приложения, свързани с изискванията на цитираното по-горе Становище по екологична оценка, но целите и тематичният фокус на поканата съвпадат с изискванията на Екологичната оценка: поканата е отворена за набиране на проектни предложения по Специфична цел 2.7 „Подобряване на защитата и опазването на природата, биоразнообразието и зелената инфраструктура, включително в градските райони, и </w:t>
      </w:r>
      <w:r w:rsidR="0047179E" w:rsidRPr="00DE095F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намаляване на всички форми на замърсяване“ и Специфична цел 2.6 „Насърчаване на прехода към кръгова и ресурсно ефективна икономика“. </w:t>
      </w:r>
    </w:p>
    <w:p w14:paraId="042A6F5C" w14:textId="226925CD" w:rsidR="009664D9" w:rsidRPr="00517235" w:rsidRDefault="009664D9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Втора фаза на Поканата – подаване на пълно проектно предложение, са публикувани задължителни приложения, които се подават заедно с </w:t>
      </w:r>
      <w:r w:rsidR="00D47C40">
        <w:rPr>
          <w:rFonts w:ascii="Times New Roman" w:hAnsi="Times New Roman" w:cs="Times New Roman"/>
          <w:sz w:val="24"/>
          <w:szCs w:val="24"/>
          <w:lang w:val="bg-BG"/>
        </w:rPr>
        <w:t>апликационната форма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47C40">
        <w:rPr>
          <w:rFonts w:ascii="Times New Roman" w:hAnsi="Times New Roman" w:cs="Times New Roman"/>
          <w:sz w:val="24"/>
          <w:szCs w:val="24"/>
          <w:lang w:val="bg-BG"/>
        </w:rPr>
        <w:t>в т.ч. и документи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, пряко свързани с изпълнението на изискванията от Становището по екологична оценка:</w:t>
      </w:r>
    </w:p>
    <w:p w14:paraId="6AFEC495" w14:textId="6E49F6E6" w:rsidR="009664D9" w:rsidRPr="00517235" w:rsidRDefault="009664D9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6 – </w:t>
      </w:r>
      <w:r w:rsidR="00171C8A" w:rsidRPr="00517235">
        <w:rPr>
          <w:rFonts w:ascii="Times New Roman" w:hAnsi="Times New Roman" w:cs="Times New Roman"/>
          <w:sz w:val="24"/>
          <w:szCs w:val="24"/>
          <w:lang w:val="bg-BG"/>
        </w:rPr>
        <w:t>Информационен л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ист за зр</w:t>
      </w:r>
      <w:r w:rsidR="00171C8A" w:rsidRPr="00517235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лост</w:t>
      </w:r>
      <w:r w:rsidR="00171C8A" w:rsidRPr="00517235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на проекта</w:t>
      </w:r>
    </w:p>
    <w:p w14:paraId="4AC86FC1" w14:textId="77777777" w:rsidR="009664D9" w:rsidRPr="00517235" w:rsidRDefault="009664D9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7 – Доклад за анализ на проекта</w:t>
      </w:r>
    </w:p>
    <w:p w14:paraId="0674210C" w14:textId="77777777" w:rsidR="009664D9" w:rsidRPr="00517235" w:rsidRDefault="009664D9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8 – Доклад за валидиране на климатичната устойчивост</w:t>
      </w:r>
    </w:p>
    <w:p w14:paraId="30248C59" w14:textId="77777777" w:rsidR="009664D9" w:rsidRPr="00517235" w:rsidRDefault="009664D9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9 – Проверка за съвместимост със </w:t>
      </w:r>
      <w:r w:rsidR="00D4579D" w:rsidRPr="00517235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тратегическа оценка на околната среда</w:t>
      </w:r>
    </w:p>
    <w:p w14:paraId="0528F4A6" w14:textId="0A4A9DBA" w:rsidR="007C609B" w:rsidRDefault="009664D9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10 – Ръководство за </w:t>
      </w:r>
      <w:r w:rsidR="0031407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индикаторите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за крайни продукти и резултати на програмата</w:t>
      </w:r>
      <w:r w:rsidR="0052138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3DBE8491" w14:textId="585DE16B" w:rsidR="00B7011F" w:rsidRPr="00517235" w:rsidRDefault="00DE095F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Приложение 12 –</w:t>
      </w:r>
      <w:r w:rsidR="0052138D" w:rsidRPr="0052138D">
        <w:t xml:space="preserve"> </w:t>
      </w:r>
      <w:r w:rsidR="0052138D" w:rsidRPr="0052138D">
        <w:rPr>
          <w:rFonts w:ascii="Times New Roman" w:hAnsi="Times New Roman" w:cs="Times New Roman"/>
          <w:sz w:val="24"/>
          <w:szCs w:val="24"/>
          <w:lang w:val="bg-BG"/>
        </w:rPr>
        <w:t>Таблица за класифициране на разходите по области на публичните политики съгласно Международната класификация на функциите на държавното управление (COFOG).</w:t>
      </w:r>
    </w:p>
    <w:p w14:paraId="0F3E2E45" w14:textId="77777777" w:rsidR="00C375EB" w:rsidRPr="00517235" w:rsidRDefault="00C375EB" w:rsidP="005D6ED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F81B5C0" w14:textId="77777777" w:rsidR="00D623EA" w:rsidRPr="00517235" w:rsidRDefault="007C609B" w:rsidP="005D6EDD">
      <w:pPr>
        <w:pStyle w:val="ListParagraph"/>
        <w:numPr>
          <w:ilvl w:val="0"/>
          <w:numId w:val="9"/>
        </w:numPr>
        <w:spacing w:before="120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Покана за набиране на целеви проектни предложения - </w:t>
      </w:r>
      <w:r w:rsidR="00277D3C" w:rsidRPr="00517235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апитализация на проект </w:t>
      </w:r>
      <w:r w:rsidRPr="00517235">
        <w:rPr>
          <w:rFonts w:ascii="Times New Roman" w:hAnsi="Times New Roman" w:cs="Times New Roman"/>
          <w:sz w:val="24"/>
          <w:szCs w:val="24"/>
        </w:rPr>
        <w:t>FLOOD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</w:rPr>
        <w:t>GUARD</w:t>
      </w:r>
      <w:r w:rsidR="000248C1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изпълняван през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програмния период 2014-2020 г. (</w:t>
      </w:r>
      <w:hyperlink r:id="rId10" w:history="1">
        <w:r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https://www.greece-bulgaria.eu/call/call-for-targeted-project-proposal-_-capitalization-of-project-flood-guard-of-the-2014-2020-programming-period/</w:t>
        </w:r>
      </w:hyperlink>
      <w:r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0E2678CB" w14:textId="34C4FA8A" w:rsidR="00D4579D" w:rsidRPr="00517235" w:rsidRDefault="00D4579D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Поканата отразява прилагането на изискванията на Становището по </w:t>
      </w:r>
      <w:r w:rsidR="00171C8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екологична оценка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чрез задължителните приложения към проектното предложение:</w:t>
      </w:r>
    </w:p>
    <w:p w14:paraId="74F4C8C1" w14:textId="77777777" w:rsidR="00D4579D" w:rsidRPr="00517235" w:rsidRDefault="00D4579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6 – Лист за зрялост на проекта</w:t>
      </w:r>
    </w:p>
    <w:p w14:paraId="6DC6791D" w14:textId="77777777" w:rsidR="00D4579D" w:rsidRPr="00517235" w:rsidRDefault="00D4579D" w:rsidP="005D6ED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7 – Проучване за осъществимост</w:t>
      </w:r>
    </w:p>
    <w:p w14:paraId="7221480A" w14:textId="03CC4BF7" w:rsidR="00D4579D" w:rsidRPr="00517235" w:rsidRDefault="00D4579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8 – Доклад за </w:t>
      </w:r>
      <w:r w:rsidR="00476C21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установяване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на климатичната устойчивост</w:t>
      </w:r>
    </w:p>
    <w:p w14:paraId="01D5A73D" w14:textId="2E1C912D" w:rsidR="00D4579D" w:rsidRPr="00517235" w:rsidRDefault="005013B2" w:rsidP="005D6ED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Приложение 9 – Формуляр за п</w:t>
      </w:r>
      <w:r w:rsidR="00D4579D" w:rsidRPr="00517235">
        <w:rPr>
          <w:rFonts w:ascii="Times New Roman" w:hAnsi="Times New Roman" w:cs="Times New Roman"/>
          <w:sz w:val="24"/>
          <w:szCs w:val="24"/>
          <w:lang w:val="bg-BG"/>
        </w:rPr>
        <w:t>роверка за съвместимост със Стратегическа оценка на околната среда</w:t>
      </w:r>
    </w:p>
    <w:p w14:paraId="7C7D8F85" w14:textId="77777777" w:rsidR="006A5F05" w:rsidRPr="00517235" w:rsidRDefault="00D4579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10 – Методология за програмните индикатори</w:t>
      </w:r>
    </w:p>
    <w:p w14:paraId="7BBEB21F" w14:textId="2BBFEF08" w:rsidR="005C42FE" w:rsidRPr="00517235" w:rsidRDefault="005C42FE" w:rsidP="005013B2">
      <w:pPr>
        <w:spacing w:before="120"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В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допълнение</w:t>
      </w:r>
      <w:r w:rsidR="005013B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в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Насоките за кандидатстване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(в раздел</w:t>
      </w:r>
      <w:r w:rsidR="00F67255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67255" w:rsidRPr="00F67255">
        <w:rPr>
          <w:rFonts w:ascii="Times New Roman" w:hAnsi="Times New Roman" w:cs="Times New Roman"/>
          <w:sz w:val="24"/>
          <w:szCs w:val="24"/>
          <w:lang w:val="bg-BG"/>
        </w:rPr>
        <w:t>„Описание на поканата, териториален обхват и описание на интервенцията</w:t>
      </w:r>
      <w:r w:rsidR="00F67255" w:rsidRPr="005013B2">
        <w:rPr>
          <w:rFonts w:ascii="Times New Roman" w:hAnsi="Times New Roman" w:cs="Times New Roman"/>
          <w:sz w:val="24"/>
          <w:szCs w:val="24"/>
          <w:lang w:val="bg-BG"/>
        </w:rPr>
        <w:t xml:space="preserve">“ и </w:t>
      </w:r>
      <w:r w:rsidR="00F67255" w:rsidRPr="00F67255">
        <w:rPr>
          <w:rFonts w:ascii="Times New Roman" w:hAnsi="Times New Roman" w:cs="Times New Roman"/>
          <w:sz w:val="24"/>
          <w:szCs w:val="24"/>
          <w:lang w:val="bg-BG"/>
        </w:rPr>
        <w:t>„Цели, очаквани резултати и допустими дейности“</w:t>
      </w:r>
      <w:r w:rsidR="005013B2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са включени изисквания за:</w:t>
      </w:r>
      <w:r w:rsidR="005013B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02165608" w14:textId="0224A3D6" w:rsidR="00277D3C" w:rsidRPr="00517235" w:rsidRDefault="00277D3C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Съответствие с Плановете за управление на риска от наводнения - Поканата е по специфична цел 2.4 – Адаптиране към изменението на климата и предотвратяване на риска от бедствия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7011F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поради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което</w:t>
      </w:r>
      <w:r w:rsidR="00B7011F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проектите трябва да бъдат съобразени с: </w:t>
      </w:r>
    </w:p>
    <w:p w14:paraId="2DEF2C7A" w14:textId="5D2CF886" w:rsidR="00277D3C" w:rsidRPr="00517235" w:rsidRDefault="00F67255" w:rsidP="005D6EDD">
      <w:pPr>
        <w:pStyle w:val="ListParagraph"/>
        <w:numPr>
          <w:ilvl w:val="0"/>
          <w:numId w:val="2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277D3C" w:rsidRPr="00517235">
        <w:rPr>
          <w:rFonts w:ascii="Times New Roman" w:hAnsi="Times New Roman" w:cs="Times New Roman"/>
          <w:sz w:val="24"/>
          <w:szCs w:val="24"/>
          <w:lang w:val="bg-BG"/>
        </w:rPr>
        <w:t>лановете за управление на риска от наводнения (ПУРН);</w:t>
      </w:r>
    </w:p>
    <w:p w14:paraId="4B8A074F" w14:textId="77777777" w:rsidR="00277D3C" w:rsidRPr="00517235" w:rsidRDefault="00277D3C" w:rsidP="005D6EDD">
      <w:pPr>
        <w:pStyle w:val="ListParagraph"/>
        <w:numPr>
          <w:ilvl w:val="0"/>
          <w:numId w:val="2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мерките за предотвратяване на наводнения;</w:t>
      </w:r>
    </w:p>
    <w:p w14:paraId="09473B04" w14:textId="77777777" w:rsidR="00277D3C" w:rsidRPr="00517235" w:rsidRDefault="00277D3C" w:rsidP="005D6EDD">
      <w:pPr>
        <w:pStyle w:val="ListParagraph"/>
        <w:numPr>
          <w:ilvl w:val="0"/>
          <w:numId w:val="2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стратегиите за адаптация към климатичните промени.</w:t>
      </w:r>
    </w:p>
    <w:p w14:paraId="0CAFCFB7" w14:textId="77777777" w:rsidR="00277D3C" w:rsidRPr="00517235" w:rsidRDefault="00277D3C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Съответствие със законодателството по ОВОС и Натура 2000</w:t>
      </w:r>
    </w:p>
    <w:p w14:paraId="4FC048FD" w14:textId="77777777" w:rsidR="00277D3C" w:rsidRPr="00517235" w:rsidRDefault="00277D3C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Опазване на водите</w:t>
      </w:r>
    </w:p>
    <w:p w14:paraId="1EBD03E1" w14:textId="2147131C" w:rsidR="00277D3C" w:rsidRPr="00517235" w:rsidRDefault="00F67255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Спазване на п</w:t>
      </w:r>
      <w:r w:rsidR="00277D3C" w:rsidRPr="00517235">
        <w:rPr>
          <w:rFonts w:ascii="Times New Roman" w:hAnsi="Times New Roman" w:cs="Times New Roman"/>
          <w:sz w:val="24"/>
          <w:szCs w:val="24"/>
          <w:lang w:val="bg-BG"/>
        </w:rPr>
        <w:t>ринцип</w:t>
      </w:r>
      <w:r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277D3C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„Да не се нанася значителна вреда“ (DNSH)</w:t>
      </w:r>
    </w:p>
    <w:p w14:paraId="544A8CC7" w14:textId="77777777" w:rsidR="00277D3C" w:rsidRPr="00517235" w:rsidRDefault="00277D3C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B07976B" w14:textId="2ACE5BAC" w:rsidR="00277D3C" w:rsidRPr="00517235" w:rsidRDefault="00277D3C" w:rsidP="005D6EDD">
      <w:pPr>
        <w:pStyle w:val="ListParagraph"/>
        <w:numPr>
          <w:ilvl w:val="0"/>
          <w:numId w:val="9"/>
        </w:numPr>
        <w:spacing w:before="120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Покана за набиране на целеви проектни предложения - Капитализация на проект FLOOD PROTECTION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0248C1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изпълняван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248C1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през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програмния период 2014-2020 г.</w:t>
      </w:r>
      <w:r w:rsidR="00694521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hyperlink r:id="rId11" w:history="1">
        <w:r w:rsidR="00694521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https://www.greece-bulgaria.eu/call/call-for-targeted-project-proposal-_-capitalization-of-project-flood-protection-of-the-2014-2020-programming-period/</w:t>
        </w:r>
      </w:hyperlink>
      <w:r w:rsidR="00694521"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7D48B7A3" w14:textId="6A60AB7C" w:rsidR="00277D3C" w:rsidRPr="00517235" w:rsidRDefault="00694521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целевата</w:t>
      </w:r>
      <w:r w:rsidR="00B7011F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покана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Управляващият орган е въвел конкретни механизми за изпълнение на условията от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доклада по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ЕО. В насоките за кандидатстване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(в раздел </w:t>
      </w:r>
      <w:r w:rsidR="006B1B25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6B1B25" w:rsidRPr="006B1B25">
        <w:rPr>
          <w:rFonts w:ascii="Times New Roman" w:hAnsi="Times New Roman" w:cs="Times New Roman"/>
          <w:sz w:val="24"/>
          <w:szCs w:val="24"/>
          <w:lang w:val="bg-BG"/>
        </w:rPr>
        <w:t>Описание на поканата</w:t>
      </w:r>
      <w:r w:rsidR="006B1B2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B1B25" w:rsidRPr="006B1B2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B1B25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6B1B25" w:rsidRPr="006B1B25">
        <w:rPr>
          <w:rFonts w:ascii="Times New Roman" w:hAnsi="Times New Roman" w:cs="Times New Roman"/>
          <w:sz w:val="24"/>
          <w:szCs w:val="24"/>
          <w:lang w:val="bg-BG"/>
        </w:rPr>
        <w:t>опустима територи</w:t>
      </w:r>
      <w:r w:rsidR="006B1B25">
        <w:rPr>
          <w:rFonts w:ascii="Times New Roman" w:hAnsi="Times New Roman" w:cs="Times New Roman"/>
          <w:sz w:val="24"/>
          <w:szCs w:val="24"/>
          <w:lang w:val="bg-BG"/>
        </w:rPr>
        <w:t>я“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е предвидено инвестициите на територията на Република България да бъдат в съответствие със Закона за опазване на околната среда, Закона за биологичното разнообразие, Регионалните стратегически планове за адаптация към изменението на климата, Националния план „Енергетика и климат“, Плановете за управление на риска от наводнения и Плановете за управление на речните басейни 2022–2027.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В допълнение,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кандидатите са задължени да представят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следните задължителни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приложения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„Доклад за </w:t>
      </w:r>
      <w:r w:rsidR="009576D2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установяване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на климатична устойчивост“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(Приложение</w:t>
      </w:r>
      <w:r w:rsidR="004B243D">
        <w:rPr>
          <w:rFonts w:ascii="Times New Roman" w:hAnsi="Times New Roman" w:cs="Times New Roman"/>
          <w:sz w:val="24"/>
          <w:szCs w:val="24"/>
          <w:lang w:val="bg-BG"/>
        </w:rPr>
        <w:t xml:space="preserve"> 8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)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и „Формуляр за съответствие със Стратегическа оценка на околната среда“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 (Приложение</w:t>
      </w:r>
      <w:r w:rsidR="004B243D">
        <w:rPr>
          <w:rFonts w:ascii="Times New Roman" w:hAnsi="Times New Roman" w:cs="Times New Roman"/>
          <w:sz w:val="24"/>
          <w:szCs w:val="24"/>
          <w:lang w:val="bg-BG"/>
        </w:rPr>
        <w:t xml:space="preserve"> 9</w:t>
      </w:r>
      <w:r w:rsidR="00B7011F" w:rsidRPr="005013B2">
        <w:rPr>
          <w:rFonts w:ascii="Times New Roman" w:hAnsi="Times New Roman" w:cs="Times New Roman"/>
          <w:sz w:val="24"/>
          <w:szCs w:val="24"/>
          <w:lang w:val="bg-BG"/>
        </w:rPr>
        <w:t>)</w:t>
      </w:r>
      <w:r w:rsidRPr="005013B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чрез които се осигурява съответствие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B7011F" w:rsidRPr="00517235">
        <w:rPr>
          <w:rFonts w:ascii="Times New Roman" w:hAnsi="Times New Roman" w:cs="Times New Roman"/>
          <w:sz w:val="24"/>
          <w:szCs w:val="24"/>
          <w:lang w:val="bg-BG"/>
        </w:rPr>
        <w:t>проект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B7011F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 изискванията на екологичната оценка и мерките за предотвратяване, намаляване и контрол на потенциалните неблагоприятни въздействия върху околната среда и човешкото здраве.</w:t>
      </w:r>
      <w:r w:rsidR="00277D3C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69B9EB43" w14:textId="6284C91E" w:rsidR="008A31BB" w:rsidRPr="00517235" w:rsidRDefault="00841C64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Процедурата по кандидатстване включва 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следните задължителни приложения към проектното предложение</w:t>
      </w:r>
      <w:r w:rsidR="00B7011F">
        <w:rPr>
          <w:rFonts w:ascii="Times New Roman" w:hAnsi="Times New Roman" w:cs="Times New Roman"/>
          <w:sz w:val="24"/>
          <w:szCs w:val="24"/>
          <w:lang w:val="bg-BG"/>
        </w:rPr>
        <w:t>, имащи отношение към изискванията в доклада по ЕО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1C835DB5" w14:textId="77777777" w:rsidR="008A31BB" w:rsidRPr="00517235" w:rsidRDefault="008A31BB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6 – Лист за зрялост на проекта</w:t>
      </w:r>
    </w:p>
    <w:p w14:paraId="76AE9F99" w14:textId="0FD9D568" w:rsidR="008A31BB" w:rsidRPr="00517235" w:rsidRDefault="008A31BB" w:rsidP="00F72C15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7 – </w:t>
      </w:r>
      <w:r w:rsidR="00F72C15" w:rsidRPr="00F72C15">
        <w:rPr>
          <w:rFonts w:ascii="Times New Roman" w:hAnsi="Times New Roman" w:cs="Times New Roman"/>
          <w:sz w:val="24"/>
          <w:szCs w:val="24"/>
          <w:lang w:val="bg-BG"/>
        </w:rPr>
        <w:t>Доклад за анализ на проекта</w:t>
      </w:r>
      <w:r w:rsidR="00F72C1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2EB259C0" w14:textId="77777777" w:rsidR="002F35E9" w:rsidRPr="00517235" w:rsidRDefault="002F35E9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0B29DD5D" w14:textId="096D8E9E" w:rsidR="002F35E9" w:rsidRPr="00517235" w:rsidRDefault="002F35E9" w:rsidP="005D6EDD">
      <w:pPr>
        <w:pStyle w:val="ListParagraph"/>
        <w:numPr>
          <w:ilvl w:val="0"/>
          <w:numId w:val="9"/>
        </w:numPr>
        <w:spacing w:before="120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Покана за набиране на целеви проектни предложения  - Проект от стратегическо значение за подобряване на мобилността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 xml:space="preserve">, с акроним </w:t>
      </w:r>
      <w:r w:rsidR="00E0466A">
        <w:rPr>
          <w:rFonts w:ascii="Times New Roman" w:hAnsi="Times New Roman" w:cs="Times New Roman"/>
          <w:sz w:val="24"/>
          <w:szCs w:val="24"/>
        </w:rPr>
        <w:t>CrossBO 2</w:t>
      </w:r>
      <w:r w:rsidR="00C551ED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hyperlink r:id="rId12" w:history="1">
        <w:r w:rsidR="00C551ED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https://www.greece-bulgaria.eu/call/call-for-targeted-project-proposal-_-project-of-strategic-importance-in-improvement-of-mobility/</w:t>
        </w:r>
      </w:hyperlink>
      <w:r w:rsidR="00C551ED"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601DFE9E" w14:textId="19A3EE0A" w:rsidR="00C551ED" w:rsidRPr="00517235" w:rsidRDefault="00C551ED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В насоките за кандидатстване на стратегическия проект е включено представянето на следните задължителни 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>приложения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, които отразяват изискванията на Становището по ЕО: </w:t>
      </w:r>
    </w:p>
    <w:p w14:paraId="79BDD853" w14:textId="77777777" w:rsidR="00C551ED" w:rsidRPr="00517235" w:rsidRDefault="00C551E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9 – Проверка за съвместимост със Стратегическа оценка на околната среда </w:t>
      </w:r>
    </w:p>
    <w:p w14:paraId="0320DBB2" w14:textId="71293D04" w:rsidR="00C551ED" w:rsidRPr="00517235" w:rsidRDefault="00C551E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Приложение 8 – Доклад за </w:t>
      </w:r>
      <w:r w:rsidR="001769BC" w:rsidRPr="00517235">
        <w:rPr>
          <w:rFonts w:ascii="Times New Roman" w:hAnsi="Times New Roman" w:cs="Times New Roman"/>
          <w:sz w:val="24"/>
          <w:szCs w:val="24"/>
          <w:lang w:val="bg-BG"/>
        </w:rPr>
        <w:t>установяване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на климатичната устойчивост</w:t>
      </w:r>
    </w:p>
    <w:p w14:paraId="1E98F2BD" w14:textId="77777777" w:rsidR="00C551ED" w:rsidRPr="00517235" w:rsidRDefault="00C551E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6 – Лист за зрялост на проекта</w:t>
      </w:r>
    </w:p>
    <w:p w14:paraId="6CA5038B" w14:textId="77777777" w:rsidR="00C551ED" w:rsidRPr="00517235" w:rsidRDefault="00C551ED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Приложение 7 – Доклад за анализ на проекта</w:t>
      </w:r>
    </w:p>
    <w:p w14:paraId="1185D5E6" w14:textId="77777777" w:rsidR="00C551ED" w:rsidRPr="00517235" w:rsidRDefault="00C551ED" w:rsidP="005D6ED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Формуляр за кандидатстване – Раздели за околна среда и Принцип „Да не се нанася значителна вреда“ (DNSH)</w:t>
      </w:r>
    </w:p>
    <w:p w14:paraId="566B8955" w14:textId="77777777" w:rsidR="0019167B" w:rsidRPr="00517235" w:rsidRDefault="0019167B" w:rsidP="005D6E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A3D3652" w14:textId="44A6A17D" w:rsidR="00D96163" w:rsidRPr="00D96163" w:rsidRDefault="00D96163" w:rsidP="00D96163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5. </w:t>
      </w:r>
      <w:r w:rsidRPr="00D96163">
        <w:rPr>
          <w:rFonts w:ascii="Times New Roman" w:hAnsi="Times New Roman" w:cs="Times New Roman"/>
          <w:b/>
          <w:bCs/>
          <w:sz w:val="24"/>
          <w:szCs w:val="24"/>
        </w:rPr>
        <w:t>Покани за целеви проектни предложения – Фонд за м</w:t>
      </w:r>
      <w:r>
        <w:rPr>
          <w:rFonts w:ascii="Times New Roman" w:hAnsi="Times New Roman" w:cs="Times New Roman"/>
          <w:b/>
          <w:bCs/>
          <w:sz w:val="24"/>
          <w:szCs w:val="24"/>
        </w:rPr>
        <w:t>алки проекти по Приоритет 3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Специфична цел </w:t>
      </w:r>
      <w:r>
        <w:rPr>
          <w:rFonts w:ascii="Times New Roman" w:hAnsi="Times New Roman" w:cs="Times New Roman"/>
          <w:b/>
          <w:bCs/>
          <w:sz w:val="24"/>
          <w:szCs w:val="24"/>
        </w:rPr>
        <w:t>4.6 и Приоритет 1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,</w:t>
      </w:r>
      <w:r w:rsidRPr="00D96163">
        <w:t xml:space="preserve"> </w:t>
      </w:r>
      <w:r w:rsidRPr="00D96163">
        <w:rPr>
          <w:rFonts w:ascii="Times New Roman" w:hAnsi="Times New Roman" w:cs="Times New Roman"/>
          <w:b/>
          <w:bCs/>
          <w:sz w:val="24"/>
          <w:szCs w:val="24"/>
        </w:rPr>
        <w:t>Специфична цел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2.6</w:t>
      </w:r>
    </w:p>
    <w:p w14:paraId="14DE9E39" w14:textId="029287ED" w:rsidR="00D96163" w:rsidRPr="00D96163" w:rsidRDefault="00D96163" w:rsidP="00D9616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163">
        <w:rPr>
          <w:rFonts w:ascii="Times New Roman" w:hAnsi="Times New Roman" w:cs="Times New Roman"/>
          <w:sz w:val="24"/>
          <w:szCs w:val="24"/>
        </w:rPr>
        <w:t>В рамките на Петата покана за целеви проектни предложения – Фонд за малки проекти по Приоритет 3 и Специфична цел 4.6 „Засилване на ролята на културата и устойчивия туризъм в икономическото развитие, социалното приобщаване и социалните иновации“, както и Шестата покана за целеви проектни предложения – Фонд за малки проекти по Приоритет 1 и Специфична цел 2.6 „Насърчаване на прехода към кръгова и ресурсно ефективна икономика“, изискванията, произтичащи от Становище № 4-3/2</w:t>
      </w:r>
      <w:r w:rsidR="00D65926">
        <w:rPr>
          <w:rFonts w:ascii="Times New Roman" w:hAnsi="Times New Roman" w:cs="Times New Roman"/>
          <w:sz w:val="24"/>
          <w:szCs w:val="24"/>
        </w:rPr>
        <w:t>023 г. по Екологична оценка</w:t>
      </w:r>
      <w:r w:rsidRPr="00D96163">
        <w:rPr>
          <w:rFonts w:ascii="Times New Roman" w:hAnsi="Times New Roman" w:cs="Times New Roman"/>
          <w:sz w:val="24"/>
          <w:szCs w:val="24"/>
        </w:rPr>
        <w:t xml:space="preserve"> на Програма Интеррег VI-A Гърция – България 2021–2027, са интегрирани в правилата за управление, подбор и изпълнение на малките проекти. В рамките на формуляра за кандидатстване бенефициентите следва да опишат:</w:t>
      </w:r>
    </w:p>
    <w:p w14:paraId="5EA60C25" w14:textId="77777777" w:rsidR="00D96163" w:rsidRDefault="00D96163" w:rsidP="00D96163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63">
        <w:rPr>
          <w:rFonts w:ascii="Times New Roman" w:hAnsi="Times New Roman" w:cs="Times New Roman"/>
          <w:sz w:val="24"/>
          <w:szCs w:val="24"/>
        </w:rPr>
        <w:lastRenderedPageBreak/>
        <w:t xml:space="preserve">механизмите за гарантиране на съответствие с приложимото екологично законодателство; </w:t>
      </w:r>
    </w:p>
    <w:p w14:paraId="37F3D64F" w14:textId="6CA059E8" w:rsidR="00D96163" w:rsidRPr="00D96163" w:rsidRDefault="00D96163" w:rsidP="00D96163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63">
        <w:rPr>
          <w:rFonts w:ascii="Times New Roman" w:hAnsi="Times New Roman" w:cs="Times New Roman"/>
          <w:sz w:val="24"/>
          <w:szCs w:val="24"/>
        </w:rPr>
        <w:t xml:space="preserve">процедурите за проверка на допустимостта на малките проекти спрямо екологичните изисквания; </w:t>
      </w:r>
    </w:p>
    <w:p w14:paraId="20715F7B" w14:textId="77777777" w:rsidR="00D96163" w:rsidRPr="00D96163" w:rsidRDefault="00D96163" w:rsidP="00D96163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63">
        <w:rPr>
          <w:rFonts w:ascii="Times New Roman" w:hAnsi="Times New Roman" w:cs="Times New Roman"/>
          <w:sz w:val="24"/>
          <w:szCs w:val="24"/>
        </w:rPr>
        <w:t xml:space="preserve">мерките за предотвратяване на отрицателни въздействия върху околната среда и защитените зони от мрежата Натура 2000. </w:t>
      </w:r>
    </w:p>
    <w:p w14:paraId="1C839ED7" w14:textId="7674BB43" w:rsidR="00D96163" w:rsidRPr="005D6EDD" w:rsidRDefault="00D96163" w:rsidP="005D6ED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163">
        <w:rPr>
          <w:rFonts w:ascii="Times New Roman" w:hAnsi="Times New Roman" w:cs="Times New Roman"/>
          <w:sz w:val="24"/>
          <w:szCs w:val="24"/>
        </w:rPr>
        <w:t>Ръководството за изпълнение на проекти предвижда процедури за оценка, контрол и верификация на проектите, включително проверка за съответствие с приложимото европейско и национално законодателство.</w:t>
      </w:r>
    </w:p>
    <w:p w14:paraId="566E9F08" w14:textId="77777777" w:rsidR="005C42FE" w:rsidRPr="00517235" w:rsidRDefault="005C42FE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CD7E074" w14:textId="77777777" w:rsidR="005C42FE" w:rsidRPr="00517235" w:rsidRDefault="005C42FE" w:rsidP="005D6EDD">
      <w:pPr>
        <w:pStyle w:val="ListParagraph"/>
        <w:numPr>
          <w:ilvl w:val="0"/>
          <w:numId w:val="13"/>
        </w:numPr>
        <w:spacing w:before="120"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>Изпълнение на сключените договори за субсидия</w:t>
      </w:r>
    </w:p>
    <w:p w14:paraId="30CAA738" w14:textId="6077F6D3" w:rsidR="008F3580" w:rsidRPr="00FC2EA7" w:rsidRDefault="008F3580" w:rsidP="005D6EDD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Приоритет 1 – По-устойчив и зелен трансграничен регион </w:t>
      </w:r>
    </w:p>
    <w:p w14:paraId="697DEA87" w14:textId="7544E241" w:rsidR="00A72F6B" w:rsidRPr="00517235" w:rsidRDefault="00A72F6B" w:rsidP="005D6EDD">
      <w:pPr>
        <w:spacing w:before="12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i/>
          <w:sz w:val="24"/>
          <w:szCs w:val="24"/>
          <w:lang w:val="bg-BG"/>
        </w:rPr>
        <w:t>Специфична цел 2.4. Насърчаване на адаптацията към изменението на климата и предотвратяването на риска от бедствия, устойчивостта, като се вземат предвид екосистемните подходи</w:t>
      </w:r>
    </w:p>
    <w:p w14:paraId="1E9B3F6C" w14:textId="6EA8BD23" w:rsidR="00D020C4" w:rsidRPr="00517235" w:rsidRDefault="00E0466A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Към настоящия момент, в рамките на тази специфчна цел на Приоритет 1 се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изпълняват </w:t>
      </w:r>
      <w:r w:rsidR="00D020C4" w:rsidRPr="00517235">
        <w:rPr>
          <w:rFonts w:ascii="Times New Roman" w:hAnsi="Times New Roman" w:cs="Times New Roman"/>
          <w:sz w:val="24"/>
          <w:szCs w:val="24"/>
          <w:lang w:val="bg-BG"/>
        </w:rPr>
        <w:t>два стратегически</w:t>
      </w:r>
      <w:r w:rsidR="008F3580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проект</w:t>
      </w:r>
      <w:r w:rsidR="00D020C4" w:rsidRPr="00517235">
        <w:rPr>
          <w:rFonts w:ascii="Times New Roman" w:hAnsi="Times New Roman" w:cs="Times New Roman"/>
          <w:sz w:val="24"/>
          <w:szCs w:val="24"/>
          <w:lang w:val="bg-BG"/>
        </w:rPr>
        <w:t>а:</w:t>
      </w:r>
    </w:p>
    <w:p w14:paraId="44DCC7CF" w14:textId="32C3C0DE" w:rsidR="003A4249" w:rsidRPr="00517235" w:rsidRDefault="008F3580" w:rsidP="005D6EDD">
      <w:pPr>
        <w:pStyle w:val="ListParagraph"/>
        <w:numPr>
          <w:ilvl w:val="0"/>
          <w:numId w:val="24"/>
        </w:numPr>
        <w:spacing w:before="120"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 xml:space="preserve">Проект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„Трансгранично планиране и инфраструктурни мерки за защита от наводнения“ - FLOOD PROTECTION 2 </w:t>
      </w:r>
      <w:r w:rsidR="00A72F6B" w:rsidRPr="00517235">
        <w:rPr>
          <w:rFonts w:ascii="Times New Roman" w:hAnsi="Times New Roman" w:cs="Times New Roman"/>
          <w:sz w:val="24"/>
          <w:szCs w:val="24"/>
          <w:lang w:val="bg-BG"/>
        </w:rPr>
        <w:t>(</w:t>
      </w:r>
      <w:hyperlink r:id="rId13" w:history="1">
        <w:r w:rsidR="00A72F6B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https://www.greece-bulgaria.eu/project/flood-protection-2/</w:t>
        </w:r>
      </w:hyperlink>
      <w:r w:rsidR="00A72F6B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) </w:t>
      </w:r>
    </w:p>
    <w:p w14:paraId="2F3F52BD" w14:textId="303D167F" w:rsidR="000E6A1F" w:rsidRDefault="008F3580" w:rsidP="005D6EDD">
      <w:pPr>
        <w:pStyle w:val="ListParagraph"/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Проектът има за цел да укрепи защитата от наводнения в трансграничния регион между Гърция и България, като се фокусира върху високорискови райони по поречието на речните басейни Струма/Сприньон, Арда/Ардас и Марица/Еврос. За да се справи с тези рискове, проектът прилага комбинация от мерки в съответствие с компетенциите на всяка партнираща страна.</w:t>
      </w:r>
      <w:r w:rsidR="001B777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B7775" w:rsidRPr="001B7775">
        <w:rPr>
          <w:rFonts w:ascii="Times New Roman" w:hAnsi="Times New Roman" w:cs="Times New Roman"/>
          <w:sz w:val="24"/>
          <w:szCs w:val="24"/>
          <w:lang w:val="bg-BG"/>
        </w:rPr>
        <w:t xml:space="preserve">Партньори от българска страна са 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>областни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 xml:space="preserve"> администрации </w:t>
      </w:r>
      <w:r w:rsidR="00D65926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>Хасково, Кърджали, Смолян и Благоевград</w:t>
      </w:r>
      <w:r w:rsidR="001B7775" w:rsidRPr="001B7775">
        <w:rPr>
          <w:rFonts w:ascii="Times New Roman" w:hAnsi="Times New Roman" w:cs="Times New Roman"/>
          <w:sz w:val="24"/>
          <w:szCs w:val="24"/>
          <w:lang w:val="bg-BG"/>
        </w:rPr>
        <w:t xml:space="preserve">, като </w:t>
      </w:r>
      <w:r w:rsidR="00D65926">
        <w:rPr>
          <w:rFonts w:ascii="Times New Roman" w:hAnsi="Times New Roman" w:cs="Times New Roman"/>
          <w:sz w:val="24"/>
          <w:szCs w:val="24"/>
          <w:lang w:val="bg-BG"/>
        </w:rPr>
        <w:t>са планирани следните дейности на българска територия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02C62A84" w14:textId="6D817C42" w:rsidR="000E6A1F" w:rsidRPr="000E6A1F" w:rsidRDefault="000E6A1F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E6A1F">
        <w:rPr>
          <w:rFonts w:ascii="Times New Roman" w:hAnsi="Times New Roman" w:cs="Times New Roman"/>
          <w:sz w:val="24"/>
          <w:szCs w:val="24"/>
          <w:lang w:val="bg-BG"/>
        </w:rPr>
        <w:t xml:space="preserve">Областна администрация Благоевград ще изпълни инфраструктурни мерки за намаляване на риска от наводнения по реките Струма и Струмешница, включително </w:t>
      </w:r>
      <w:r w:rsidRPr="000E6A1F">
        <w:rPr>
          <w:rFonts w:ascii="Times New Roman" w:hAnsi="Times New Roman" w:cs="Times New Roman"/>
          <w:sz w:val="24"/>
          <w:szCs w:val="24"/>
          <w:lang w:val="bg-BG"/>
        </w:rPr>
        <w:lastRenderedPageBreak/>
        <w:t>укрепване на речни брегове и изграждане на защитни съоръжения, както и ще подобри капацитета за реакция чрез оборудване на Регионалния щаб за защита при бедствия.</w:t>
      </w:r>
    </w:p>
    <w:p w14:paraId="0759B69D" w14:textId="2C49D46E" w:rsidR="000E6A1F" w:rsidRPr="000E6A1F" w:rsidRDefault="000E6A1F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E6A1F">
        <w:rPr>
          <w:rFonts w:ascii="Times New Roman" w:hAnsi="Times New Roman" w:cs="Times New Roman"/>
          <w:sz w:val="24"/>
          <w:szCs w:val="24"/>
          <w:lang w:val="bg-BG"/>
        </w:rPr>
        <w:t>Областна администрация Хасково ще повиши готовността за реагиране при бедствия чрез ремонт и оборудване на Област</w:t>
      </w:r>
      <w:r w:rsidR="002A64BD">
        <w:rPr>
          <w:rFonts w:ascii="Times New Roman" w:hAnsi="Times New Roman" w:cs="Times New Roman"/>
          <w:sz w:val="24"/>
          <w:szCs w:val="24"/>
          <w:lang w:val="bg-BG"/>
        </w:rPr>
        <w:t xml:space="preserve">ния щаб за защита при бедствия и </w:t>
      </w:r>
      <w:r w:rsidRPr="000E6A1F">
        <w:rPr>
          <w:rFonts w:ascii="Times New Roman" w:hAnsi="Times New Roman" w:cs="Times New Roman"/>
          <w:sz w:val="24"/>
          <w:szCs w:val="24"/>
          <w:lang w:val="bg-BG"/>
        </w:rPr>
        <w:t>доставка на високопроходим автомобил.</w:t>
      </w:r>
    </w:p>
    <w:p w14:paraId="17BF6268" w14:textId="42B7714A" w:rsidR="000E6A1F" w:rsidRPr="000E6A1F" w:rsidRDefault="000E6A1F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E6A1F">
        <w:rPr>
          <w:rFonts w:ascii="Times New Roman" w:hAnsi="Times New Roman" w:cs="Times New Roman"/>
          <w:sz w:val="24"/>
          <w:szCs w:val="24"/>
          <w:lang w:val="bg-BG"/>
        </w:rPr>
        <w:t>Областна администрация Кърджали ще реализира мерки за защита от наводнения чрез изграждане на брегоукрепителни съоръжения и ще повиши техническия и административния капацитет за управление на риска.</w:t>
      </w:r>
    </w:p>
    <w:p w14:paraId="64EA252A" w14:textId="1B88D20F" w:rsidR="008F3580" w:rsidRPr="00517235" w:rsidRDefault="000E6A1F" w:rsidP="005D6EDD">
      <w:pPr>
        <w:pStyle w:val="ListParagraph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E6A1F">
        <w:rPr>
          <w:rFonts w:ascii="Times New Roman" w:hAnsi="Times New Roman" w:cs="Times New Roman"/>
          <w:sz w:val="24"/>
          <w:szCs w:val="24"/>
          <w:lang w:val="bg-BG"/>
        </w:rPr>
        <w:t>Областна администрация Смолян ще изгради подпорна стена по р. Черна в гр. Смолян и ще подобри оборудването и оперативния капацитет на Областния щаб за защита при бедствия.</w:t>
      </w:r>
    </w:p>
    <w:p w14:paraId="05A0BBB7" w14:textId="6AEF5A72" w:rsidR="00A72F6B" w:rsidRPr="00517235" w:rsidRDefault="00A72F6B" w:rsidP="005D6EDD">
      <w:pPr>
        <w:pStyle w:val="ListParagraph"/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Проектът е на 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 xml:space="preserve">обща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стойност 5 461 812 евро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 xml:space="preserve"> (ЕФРР + национално съфинансиране)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E0466A">
        <w:rPr>
          <w:rFonts w:ascii="Times New Roman" w:hAnsi="Times New Roman" w:cs="Times New Roman"/>
          <w:sz w:val="24"/>
          <w:szCs w:val="24"/>
          <w:lang w:val="bg-BG"/>
        </w:rPr>
        <w:t>като същият е в изпълнение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от декември 2025 г. и се предвижда да приключи до края на 2028 г.</w:t>
      </w:r>
      <w:r w:rsidR="001B777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024E0DD6" w14:textId="77777777" w:rsidR="00A72F6B" w:rsidRPr="00517235" w:rsidRDefault="00A72F6B" w:rsidP="005D6EDD">
      <w:pPr>
        <w:pStyle w:val="ListParagraph"/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Към момента не са установени дейности със значително отрицателно въздействие върху околната среда.</w:t>
      </w:r>
    </w:p>
    <w:p w14:paraId="0775809F" w14:textId="77777777" w:rsidR="003A4249" w:rsidRPr="00517235" w:rsidRDefault="003A4249" w:rsidP="005D6ED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1D3F7E1" w14:textId="13E63CF3" w:rsidR="00D020C4" w:rsidRPr="00517235" w:rsidRDefault="00E0466A" w:rsidP="005D6EDD">
      <w:pPr>
        <w:pStyle w:val="ListParagraph"/>
        <w:numPr>
          <w:ilvl w:val="0"/>
          <w:numId w:val="24"/>
        </w:numPr>
        <w:spacing w:before="120"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>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ект </w:t>
      </w:r>
      <w:r w:rsidR="00D020C4" w:rsidRPr="00517235">
        <w:rPr>
          <w:rFonts w:ascii="Times New Roman" w:hAnsi="Times New Roman" w:cs="Times New Roman"/>
          <w:sz w:val="24"/>
          <w:szCs w:val="24"/>
          <w:lang w:val="bg-BG"/>
        </w:rPr>
        <w:t>„Повишаване на капацитета за превенция и реагиране в случай на наводнения и последващи природни бедствия и извънредни ситуации в трансграничния регион“ - FLOODGUARD 2 (</w:t>
      </w:r>
      <w:hyperlink r:id="rId14" w:history="1">
        <w:r w:rsidR="00D020C4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https://www.greece-bulgaria.eu/project/floodguard-2/</w:t>
        </w:r>
      </w:hyperlink>
      <w:r w:rsidR="00D020C4" w:rsidRPr="00517235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26CEDF11" w14:textId="77777777" w:rsidR="002A64BD" w:rsidRDefault="00D020C4" w:rsidP="002A64BD">
      <w:pPr>
        <w:pStyle w:val="ListParagraph"/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Основната цел на проекта е да повиши способността на екипи</w:t>
      </w:r>
      <w:r w:rsidR="003A4249" w:rsidRPr="00517235">
        <w:rPr>
          <w:rFonts w:ascii="Times New Roman" w:hAnsi="Times New Roman" w:cs="Times New Roman"/>
          <w:sz w:val="24"/>
          <w:szCs w:val="24"/>
          <w:lang w:val="bg-BG"/>
        </w:rPr>
        <w:t>те за реа</w:t>
      </w:r>
      <w:r w:rsidR="0031407A" w:rsidRPr="00517235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3A4249" w:rsidRPr="00517235">
        <w:rPr>
          <w:rFonts w:ascii="Times New Roman" w:hAnsi="Times New Roman" w:cs="Times New Roman"/>
          <w:sz w:val="24"/>
          <w:szCs w:val="24"/>
          <w:lang w:val="bg-BG"/>
        </w:rPr>
        <w:t>ция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да се справят с наводнения и други извънредни ситуации и бедствия, които възникват в трансграничния район между Гърция и България. Това ще бъде постигнато чрез осигуряване на специализирано оборудване, организиране на съвместни обучителни сесии и учения, както и повишаване на обществената осведоменост и готовност в трансграничния регион, с цел осигуряване на адекватни и навременни реакции при различни кризи и бедствия. В рамките на проекта ще бъде доставено специализирано и спасително оборудване, както и оборудване за евакуационни лагери, и ще бъдат проведени редица координирани обучения и полеви учения.</w:t>
      </w:r>
      <w:r w:rsidR="001B7775">
        <w:rPr>
          <w:rFonts w:ascii="Times New Roman" w:hAnsi="Times New Roman" w:cs="Times New Roman"/>
          <w:sz w:val="24"/>
          <w:szCs w:val="24"/>
          <w:lang w:val="bg-BG"/>
        </w:rPr>
        <w:t xml:space="preserve"> Партньор от българска страна 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0E6A1F" w:rsidRPr="000E6A1F">
        <w:t xml:space="preserve"> 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>Главна дирекция „Пожарна безоп</w:t>
      </w:r>
      <w:r w:rsidR="002A64BD">
        <w:rPr>
          <w:rFonts w:ascii="Times New Roman" w:hAnsi="Times New Roman" w:cs="Times New Roman"/>
          <w:sz w:val="24"/>
          <w:szCs w:val="24"/>
          <w:lang w:val="bg-BG"/>
        </w:rPr>
        <w:t>асност и защита на населението“ към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 xml:space="preserve"> Министерство на вътрешните работи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>, като на</w:t>
      </w:r>
      <w:r w:rsidR="002A64B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E6A1F" w:rsidRPr="005D6EDD">
        <w:rPr>
          <w:rFonts w:ascii="Times New Roman" w:hAnsi="Times New Roman" w:cs="Times New Roman"/>
          <w:sz w:val="24"/>
          <w:szCs w:val="24"/>
        </w:rPr>
        <w:t xml:space="preserve">територията на България проектът предвижда повишаване на капацитета за превенция и реагиране при наводнения чрез </w:t>
      </w:r>
      <w:r w:rsidR="000E6A1F" w:rsidRPr="005D6EDD">
        <w:rPr>
          <w:rFonts w:ascii="Times New Roman" w:hAnsi="Times New Roman" w:cs="Times New Roman"/>
          <w:sz w:val="24"/>
          <w:szCs w:val="24"/>
        </w:rPr>
        <w:lastRenderedPageBreak/>
        <w:t>доставка на специ</w:t>
      </w:r>
      <w:r w:rsidR="002A64BD">
        <w:rPr>
          <w:rFonts w:ascii="Times New Roman" w:hAnsi="Times New Roman" w:cs="Times New Roman"/>
          <w:sz w:val="24"/>
          <w:szCs w:val="24"/>
        </w:rPr>
        <w:t>ализирано спасително оборудване</w:t>
      </w:r>
      <w:r w:rsidR="002A64B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E6A1F" w:rsidRPr="005D6EDD">
        <w:rPr>
          <w:rFonts w:ascii="Times New Roman" w:hAnsi="Times New Roman" w:cs="Times New Roman"/>
          <w:sz w:val="24"/>
          <w:szCs w:val="24"/>
        </w:rPr>
        <w:t xml:space="preserve">провеждане на съвместни обучения и полеви учения, както и разработване на процедури и материали за повишаване на готовността </w:t>
      </w:r>
      <w:r w:rsidR="002A64BD">
        <w:rPr>
          <w:rFonts w:ascii="Times New Roman" w:hAnsi="Times New Roman" w:cs="Times New Roman"/>
          <w:sz w:val="24"/>
          <w:szCs w:val="24"/>
          <w:lang w:val="bg-BG"/>
        </w:rPr>
        <w:t xml:space="preserve">на населението </w:t>
      </w:r>
      <w:r w:rsidR="000E6A1F" w:rsidRPr="005D6EDD">
        <w:rPr>
          <w:rFonts w:ascii="Times New Roman" w:hAnsi="Times New Roman" w:cs="Times New Roman"/>
          <w:sz w:val="24"/>
          <w:szCs w:val="24"/>
        </w:rPr>
        <w:t>при бедствия.</w:t>
      </w:r>
    </w:p>
    <w:p w14:paraId="5A2CDD55" w14:textId="77777777" w:rsidR="002A64BD" w:rsidRDefault="002A64BD" w:rsidP="002A64B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A64BD">
        <w:rPr>
          <w:rFonts w:ascii="Times New Roman" w:hAnsi="Times New Roman" w:cs="Times New Roman"/>
          <w:sz w:val="24"/>
          <w:szCs w:val="24"/>
          <w:lang w:val="bg-BG"/>
        </w:rPr>
        <w:t>Проектът предвижда</w:t>
      </w:r>
      <w:r w:rsidR="000E6A1F" w:rsidRPr="002A64BD">
        <w:rPr>
          <w:rFonts w:ascii="Times New Roman" w:hAnsi="Times New Roman" w:cs="Times New Roman"/>
          <w:sz w:val="24"/>
          <w:szCs w:val="24"/>
          <w:lang w:val="bg-BG"/>
        </w:rPr>
        <w:t xml:space="preserve"> информационни дейност</w:t>
      </w:r>
      <w:r w:rsidRPr="002A64BD">
        <w:rPr>
          <w:rFonts w:ascii="Times New Roman" w:hAnsi="Times New Roman" w:cs="Times New Roman"/>
          <w:sz w:val="24"/>
          <w:szCs w:val="24"/>
          <w:lang w:val="bg-BG"/>
        </w:rPr>
        <w:t>и за населението, идентифициране на места за евакуация и надграждане на</w:t>
      </w:r>
      <w:r w:rsidR="000E6A1F" w:rsidRPr="002A64BD">
        <w:rPr>
          <w:rFonts w:ascii="Times New Roman" w:hAnsi="Times New Roman" w:cs="Times New Roman"/>
          <w:sz w:val="24"/>
          <w:szCs w:val="24"/>
          <w:lang w:val="bg-BG"/>
        </w:rPr>
        <w:t xml:space="preserve"> резултатите от предходния проект Floodguard чрез оборудване на Център за обучение и система за симулация на действия при наводнения.</w:t>
      </w:r>
    </w:p>
    <w:p w14:paraId="3A80C0B2" w14:textId="77777777" w:rsidR="002A64BD" w:rsidRDefault="000E6A1F" w:rsidP="002A64B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4BD">
        <w:rPr>
          <w:rFonts w:ascii="Times New Roman" w:hAnsi="Times New Roman" w:cs="Times New Roman"/>
          <w:sz w:val="24"/>
          <w:szCs w:val="24"/>
          <w:lang w:val="bg-BG"/>
        </w:rPr>
        <w:t>Дейностите ще допринесат за по-добра координация, бърза реакция и повишена устойчивост на трансграничния регион при наводнения и извънредни ситуации.</w:t>
      </w:r>
    </w:p>
    <w:p w14:paraId="680E888E" w14:textId="3784E3F7" w:rsidR="002A64BD" w:rsidRDefault="00D020C4" w:rsidP="002A64B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Проектът е на </w:t>
      </w:r>
      <w:r w:rsidR="001B7775">
        <w:rPr>
          <w:rFonts w:ascii="Times New Roman" w:hAnsi="Times New Roman" w:cs="Times New Roman"/>
          <w:sz w:val="24"/>
          <w:szCs w:val="24"/>
          <w:lang w:val="bg-BG"/>
        </w:rPr>
        <w:t xml:space="preserve">обща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стойност 6 781 498 евро</w:t>
      </w:r>
      <w:r w:rsidR="001B7775">
        <w:rPr>
          <w:rFonts w:ascii="Times New Roman" w:hAnsi="Times New Roman" w:cs="Times New Roman"/>
          <w:sz w:val="24"/>
          <w:szCs w:val="24"/>
          <w:lang w:val="bg-BG"/>
        </w:rPr>
        <w:t xml:space="preserve"> (ЕФРР + национално съ-финансиране), като периодът на изпълнениее о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т март 2025 до декември 2027 г.</w:t>
      </w:r>
    </w:p>
    <w:p w14:paraId="176E683E" w14:textId="4947F1A8" w:rsidR="00A72F6B" w:rsidRPr="002A64BD" w:rsidRDefault="00D020C4" w:rsidP="002A64B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Към момента не са установени дейности със значително отрицателно въздействие върху околната среда.</w:t>
      </w:r>
    </w:p>
    <w:p w14:paraId="01A1D7D6" w14:textId="77777777" w:rsidR="00D020C4" w:rsidRPr="00517235" w:rsidRDefault="00D020C4" w:rsidP="005D6EDD">
      <w:pPr>
        <w:pStyle w:val="ListParagraph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38E1E0E5" w14:textId="088DF144" w:rsidR="00A72F6B" w:rsidRPr="00FC2EA7" w:rsidRDefault="00A72F6B" w:rsidP="005D6EDD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2E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Приоритет 2 – По-достъпен трансграничен регион </w:t>
      </w:r>
    </w:p>
    <w:p w14:paraId="4C7D74DA" w14:textId="486D6916" w:rsidR="00A72F6B" w:rsidRPr="00517235" w:rsidRDefault="00A72F6B" w:rsidP="005D6EDD">
      <w:pPr>
        <w:spacing w:before="12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i/>
          <w:sz w:val="24"/>
          <w:szCs w:val="24"/>
          <w:lang w:val="bg-BG"/>
        </w:rPr>
        <w:t xml:space="preserve">Специфична цел 3.2. Развиване и подобряване на устойчива, устойчива на климатичните промени, интелигентна и интермодална национална, регионална и местна мобилност, включително подобрен достъп до </w:t>
      </w:r>
      <w:r w:rsidRPr="00517235">
        <w:rPr>
          <w:rFonts w:ascii="Times New Roman" w:hAnsi="Times New Roman" w:cs="Times New Roman"/>
          <w:i/>
          <w:sz w:val="24"/>
          <w:szCs w:val="24"/>
        </w:rPr>
        <w:t>TEN</w:t>
      </w:r>
      <w:r w:rsidRPr="00517235">
        <w:rPr>
          <w:rFonts w:ascii="Times New Roman" w:hAnsi="Times New Roman" w:cs="Times New Roman"/>
          <w:i/>
          <w:sz w:val="24"/>
          <w:szCs w:val="24"/>
          <w:lang w:val="bg-BG"/>
        </w:rPr>
        <w:t>-</w:t>
      </w:r>
      <w:r w:rsidRPr="00517235">
        <w:rPr>
          <w:rFonts w:ascii="Times New Roman" w:hAnsi="Times New Roman" w:cs="Times New Roman"/>
          <w:i/>
          <w:sz w:val="24"/>
          <w:szCs w:val="24"/>
        </w:rPr>
        <w:t>T</w:t>
      </w:r>
      <w:r w:rsidRPr="00517235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и трансгранична мобилност</w:t>
      </w:r>
    </w:p>
    <w:p w14:paraId="45B3B15E" w14:textId="0B1C5B68" w:rsidR="000E6A1F" w:rsidRPr="000E6A1F" w:rsidRDefault="001B7775" w:rsidP="000E6A1F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Към настоящия момент се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изпълнява </w:t>
      </w:r>
      <w:r w:rsidR="00A72F6B" w:rsidRPr="00517235">
        <w:rPr>
          <w:rFonts w:ascii="Times New Roman" w:hAnsi="Times New Roman" w:cs="Times New Roman"/>
          <w:sz w:val="24"/>
          <w:szCs w:val="24"/>
          <w:lang w:val="bg-BG"/>
        </w:rPr>
        <w:t>стратегическият проект „Подобряване на мобилността и безопасността при пътуване в трансграничната зона“ - CROSSBO 2 (</w:t>
      </w:r>
      <w:hyperlink r:id="rId15" w:history="1">
        <w:r w:rsidR="00A72F6B" w:rsidRPr="00517235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https://www.greece-bulgaria.eu/project/crossbo-2/</w:t>
        </w:r>
      </w:hyperlink>
      <w:r w:rsidR="00A72F6B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) </w:t>
      </w:r>
      <w:r w:rsidR="0047197A" w:rsidRPr="00517235">
        <w:rPr>
          <w:rFonts w:ascii="Times New Roman" w:hAnsi="Times New Roman" w:cs="Times New Roman"/>
          <w:sz w:val="24"/>
          <w:szCs w:val="24"/>
          <w:lang w:val="bg-BG"/>
        </w:rPr>
        <w:t>Проектът цели да подобри трансграничната свързаност, достъпа до TEN-T мрежата и пътната безопасност, чрез модернизация и доизграждане на ключови пътни участъци в България и Гърция. Партньори са Агенция „Пътна инфраструктура“ (АПИ) и „Егнатия Одос“ АД</w:t>
      </w:r>
      <w:r>
        <w:rPr>
          <w:rFonts w:ascii="Times New Roman" w:hAnsi="Times New Roman" w:cs="Times New Roman"/>
          <w:sz w:val="24"/>
          <w:szCs w:val="24"/>
          <w:lang w:val="bg-BG"/>
        </w:rPr>
        <w:t>, Гърция</w:t>
      </w:r>
      <w:r w:rsidR="0047197A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B3740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Проектът надгражда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предходн</w:t>
      </w:r>
      <w:r>
        <w:rPr>
          <w:rFonts w:ascii="Times New Roman" w:hAnsi="Times New Roman" w:cs="Times New Roman"/>
          <w:sz w:val="24"/>
          <w:szCs w:val="24"/>
          <w:lang w:val="bg-BG"/>
        </w:rPr>
        <w:t>ия стратегически проект</w:t>
      </w:r>
      <w:r w:rsidR="005B3740"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 CrossBo (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финансиран по програма Интеррег </w:t>
      </w:r>
      <w:r>
        <w:rPr>
          <w:rFonts w:ascii="Times New Roman" w:hAnsi="Times New Roman" w:cs="Times New Roman"/>
          <w:sz w:val="24"/>
          <w:szCs w:val="24"/>
        </w:rPr>
        <w:t xml:space="preserve">V-A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Гърция-България </w:t>
      </w:r>
      <w:r w:rsidR="005B3740" w:rsidRPr="00517235">
        <w:rPr>
          <w:rFonts w:ascii="Times New Roman" w:hAnsi="Times New Roman" w:cs="Times New Roman"/>
          <w:sz w:val="24"/>
          <w:szCs w:val="24"/>
          <w:lang w:val="bg-BG"/>
        </w:rPr>
        <w:t>2014–2020) и продължава усилията за подобряване на свързаността между България и Гърция.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българска страна се предвижда </w:t>
      </w:r>
      <w:r w:rsidR="000E6A1F">
        <w:rPr>
          <w:rFonts w:ascii="Times New Roman" w:hAnsi="Times New Roman" w:cs="Times New Roman"/>
          <w:sz w:val="24"/>
          <w:szCs w:val="24"/>
          <w:lang w:val="bg-BG"/>
        </w:rPr>
        <w:t>изпълнението на</w:t>
      </w:r>
      <w:r w:rsidR="000E6A1F" w:rsidRPr="000E6A1F">
        <w:rPr>
          <w:rFonts w:ascii="Times New Roman" w:hAnsi="Times New Roman" w:cs="Times New Roman"/>
          <w:sz w:val="24"/>
          <w:szCs w:val="24"/>
          <w:lang w:val="bg-BG"/>
        </w:rPr>
        <w:t xml:space="preserve"> дейности за реконструкция и модернизация на участъци от път II-86 (обходен път Рудозем) и път I-5 (Кърджали–Маказа), както и подготовка на технически проект за главна пътна комуникация на гр. Смолян.</w:t>
      </w:r>
    </w:p>
    <w:p w14:paraId="03F8B554" w14:textId="59EB4AB2" w:rsidR="008F3580" w:rsidRPr="00517235" w:rsidRDefault="000E6A1F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E6A1F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Проектът ще допринесе за намаляване на времето за пътуване, подобряване на безопасността, повишаване на мобилността и икономическата свързаност в трансграничния регион.</w:t>
      </w:r>
    </w:p>
    <w:p w14:paraId="7750FABB" w14:textId="77777777" w:rsidR="005B3740" w:rsidRPr="00517235" w:rsidRDefault="005B3740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Проектът е на стойност 21 974 264 евро, изпълнява се в периода ноември 2025 – декември 2027 г.</w:t>
      </w:r>
    </w:p>
    <w:p w14:paraId="78AFC002" w14:textId="77777777" w:rsidR="00A72F6B" w:rsidRPr="00517235" w:rsidRDefault="005B3740" w:rsidP="005D6ED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Към момента не са установени дейности със значително отрицателно въздействие върху околната среда.</w:t>
      </w:r>
    </w:p>
    <w:p w14:paraId="2705C682" w14:textId="77777777" w:rsidR="005C42FE" w:rsidRPr="00517235" w:rsidRDefault="005C42FE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A734C7A" w14:textId="77777777" w:rsidR="008D446F" w:rsidRPr="008D446F" w:rsidRDefault="008D446F" w:rsidP="00AC5CBD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b/>
          <w:sz w:val="24"/>
          <w:szCs w:val="24"/>
          <w:lang w:val="bg-BG"/>
        </w:rPr>
        <w:t>VII. Механизми за наблюдение и контрол</w:t>
      </w:r>
    </w:p>
    <w:p w14:paraId="3449E07A" w14:textId="329D650F" w:rsidR="008D446F" w:rsidRPr="008D446F" w:rsidRDefault="008D446F" w:rsidP="005D6EDD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404040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В Наръчника за управление на проекти по Програмата </w:t>
      </w:r>
      <w:r w:rsidR="001B7775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(в раздел </w:t>
      </w:r>
      <w:r w:rsidR="000E6A1F" w:rsidRPr="000E6A1F">
        <w:rPr>
          <w:rFonts w:ascii="Times New Roman" w:eastAsia="Arial" w:hAnsi="Times New Roman" w:cs="Times New Roman"/>
          <w:sz w:val="24"/>
          <w:szCs w:val="24"/>
          <w:lang w:val="bg-BG"/>
        </w:rPr>
        <w:t>C.2 Мониторинг и докладване на проекти)</w:t>
      </w:r>
      <w:r w:rsidR="001B7775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 </w:t>
      </w: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е описана процедурата за наблюдение и контрол</w:t>
      </w:r>
      <w:r w:rsidR="001B7775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 на дейностите по одобрените за финансиране съвместни проекти</w:t>
      </w: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. Текущите проверки се извършват </w:t>
      </w:r>
      <w:r w:rsidR="001B7775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изцяло </w:t>
      </w: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от Съвместния секретариат (СС) и имат за цел да гарантират качеството на изпълнението.</w:t>
      </w:r>
      <w:r w:rsidR="001B7775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 Националният орган на програмата за България (МРРБ) няма ангажименти по наблюдението на изпълнението на проектите, включително и на дейностите на българска територия. Звеното за национален контрол за България извършва верификация на отчетените разходи на българските партньори за съответствието им с изискванията на националното законодателство. </w:t>
      </w:r>
    </w:p>
    <w:p w14:paraId="1135816A" w14:textId="77777777" w:rsidR="008D446F" w:rsidRPr="008D446F" w:rsidRDefault="008D446F">
      <w:pPr>
        <w:spacing w:before="16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b/>
          <w:sz w:val="24"/>
          <w:szCs w:val="24"/>
          <w:lang w:val="bg-BG"/>
        </w:rPr>
        <w:t>7.1. Видове проверки от СС / Управляващия орган</w:t>
      </w:r>
    </w:p>
    <w:p w14:paraId="4CB271DC" w14:textId="77777777" w:rsidR="008D446F" w:rsidRPr="008D446F" w:rsidRDefault="008D446F">
      <w:pPr>
        <w:numPr>
          <w:ilvl w:val="0"/>
          <w:numId w:val="27"/>
        </w:num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Проверка на физическия напредък чрез анализ на показателите от всеки отчет по проекта</w:t>
      </w:r>
    </w:p>
    <w:p w14:paraId="74C6E128" w14:textId="77777777" w:rsidR="008D446F" w:rsidRPr="008D446F" w:rsidRDefault="008D446F">
      <w:pPr>
        <w:numPr>
          <w:ilvl w:val="0"/>
          <w:numId w:val="27"/>
        </w:num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Проверки на място – особено за проекти с инвестиции в оборудване, инфраструктура и строителни работи</w:t>
      </w:r>
    </w:p>
    <w:p w14:paraId="0CB8AC60" w14:textId="77777777" w:rsidR="008D446F" w:rsidRPr="008D446F" w:rsidRDefault="008D446F">
      <w:pPr>
        <w:numPr>
          <w:ilvl w:val="0"/>
          <w:numId w:val="27"/>
        </w:num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Проверки на разходите – документни проверки на фактури и подкрепящи документи</w:t>
      </w:r>
    </w:p>
    <w:p w14:paraId="23B9A7A2" w14:textId="47E2F7D9" w:rsidR="008D446F" w:rsidRDefault="008D446F">
      <w:pPr>
        <w:numPr>
          <w:ilvl w:val="0"/>
          <w:numId w:val="27"/>
        </w:num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Проверка на документацията за контролна работа, извършена от националните контрольори (само от УО)</w:t>
      </w:r>
    </w:p>
    <w:p w14:paraId="694B146D" w14:textId="2FC0A29E" w:rsidR="001B7775" w:rsidRDefault="001B7775" w:rsidP="005D6EDD">
      <w:p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</w:p>
    <w:p w14:paraId="0C2B522E" w14:textId="4B142B52" w:rsidR="002A64BD" w:rsidRDefault="002A64BD" w:rsidP="005D6EDD">
      <w:p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</w:p>
    <w:p w14:paraId="5FCEBCDB" w14:textId="77777777" w:rsidR="002A64BD" w:rsidRPr="008D446F" w:rsidRDefault="002A64BD" w:rsidP="005D6EDD">
      <w:pPr>
        <w:spacing w:before="60" w:after="6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14:paraId="2460B3A4" w14:textId="77777777" w:rsidR="008D446F" w:rsidRPr="008D446F" w:rsidRDefault="008D446F">
      <w:pPr>
        <w:spacing w:before="240" w:after="120" w:line="360" w:lineRule="auto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b/>
          <w:bCs/>
          <w:sz w:val="24"/>
          <w:szCs w:val="24"/>
          <w:lang w:val="bg-BG"/>
        </w:rPr>
        <w:lastRenderedPageBreak/>
        <w:t>7.2. Допълнителни проверки</w:t>
      </w:r>
    </w:p>
    <w:p w14:paraId="2CD8607D" w14:textId="50B12C98" w:rsidR="008D446F" w:rsidRPr="008D446F" w:rsidRDefault="008D446F">
      <w:pPr>
        <w:spacing w:before="80" w:after="8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Въз основа на оценка на риска, УО </w:t>
      </w:r>
      <w:r w:rsidR="0087086B">
        <w:rPr>
          <w:rFonts w:ascii="Times New Roman" w:eastAsia="Arial" w:hAnsi="Times New Roman" w:cs="Times New Roman"/>
          <w:sz w:val="24"/>
          <w:szCs w:val="24"/>
          <w:lang w:val="bg-BG"/>
        </w:rPr>
        <w:t xml:space="preserve">(Гърция) </w:t>
      </w: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може по всяко време да извършва допълнителни проверки с цел предотвратяване и разкриване на потенциални нередности, включително измами.</w:t>
      </w:r>
    </w:p>
    <w:p w14:paraId="03FA60F3" w14:textId="77777777" w:rsidR="008D446F" w:rsidRPr="008D446F" w:rsidRDefault="008D446F">
      <w:pPr>
        <w:spacing w:before="240" w:after="120" w:line="360" w:lineRule="auto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b/>
          <w:bCs/>
          <w:sz w:val="24"/>
          <w:szCs w:val="24"/>
          <w:lang w:val="bg-BG"/>
        </w:rPr>
        <w:t>7.3. Екологичен мониторинг</w:t>
      </w:r>
    </w:p>
    <w:p w14:paraId="3765ECF8" w14:textId="77777777" w:rsidR="008D446F" w:rsidRPr="008D446F" w:rsidRDefault="008D446F">
      <w:pPr>
        <w:spacing w:before="80" w:after="8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bg-BG"/>
        </w:rPr>
      </w:pPr>
      <w:r w:rsidRPr="008D446F">
        <w:rPr>
          <w:rFonts w:ascii="Times New Roman" w:eastAsia="Arial" w:hAnsi="Times New Roman" w:cs="Times New Roman"/>
          <w:sz w:val="24"/>
          <w:szCs w:val="24"/>
          <w:lang w:val="bg-BG"/>
        </w:rPr>
        <w:t>Извършва се оценка и мониторинг на инвестиционните проекти по отношение на мерките за опазване на околната среда и съответствието им с изискванията на Становището по екологична оценка на МОСВ.</w:t>
      </w:r>
    </w:p>
    <w:p w14:paraId="20552CB7" w14:textId="77777777" w:rsidR="00BE2231" w:rsidRPr="00517235" w:rsidRDefault="00BE2231" w:rsidP="005D6EDD">
      <w:pPr>
        <w:spacing w:before="80" w:after="8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7EA134D4" w14:textId="77777777" w:rsidR="005C42FE" w:rsidRPr="00517235" w:rsidRDefault="005C42FE" w:rsidP="005D6EDD">
      <w:pPr>
        <w:pStyle w:val="ListParagraph"/>
        <w:spacing w:before="120" w:after="0" w:line="360" w:lineRule="auto"/>
        <w:ind w:left="85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br w:type="page"/>
      </w:r>
    </w:p>
    <w:p w14:paraId="0974ACBE" w14:textId="77777777" w:rsidR="005C42FE" w:rsidRPr="00517235" w:rsidRDefault="005C42FE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  <w:sectPr w:rsidR="005C42FE" w:rsidRPr="00517235" w:rsidSect="00A36534">
          <w:headerReference w:type="default" r:id="rId16"/>
          <w:footerReference w:type="default" r:id="rId17"/>
          <w:pgSz w:w="12240" w:h="15840"/>
          <w:pgMar w:top="1417" w:right="1417" w:bottom="1417" w:left="1134" w:header="708" w:footer="708" w:gutter="0"/>
          <w:cols w:space="708"/>
          <w:docGrid w:linePitch="360"/>
        </w:sectPr>
      </w:pPr>
    </w:p>
    <w:p w14:paraId="5C13B516" w14:textId="77777777" w:rsidR="005C42FE" w:rsidRPr="00517235" w:rsidRDefault="005C42FE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B16F271" w14:textId="77777777" w:rsidR="000F2CAE" w:rsidRPr="00517235" w:rsidRDefault="005C42FE" w:rsidP="005D6EDD">
      <w:pPr>
        <w:pStyle w:val="ListParagraph"/>
        <w:numPr>
          <w:ilvl w:val="0"/>
          <w:numId w:val="13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Прилагане на мерките от Становище по екологична оценка </w:t>
      </w:r>
      <w:r w:rsidR="00BE2231"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№ 4-3/2023 г. </w:t>
      </w:r>
      <w:r w:rsidRPr="00517235">
        <w:rPr>
          <w:rFonts w:ascii="Times New Roman" w:hAnsi="Times New Roman" w:cs="Times New Roman"/>
          <w:b/>
          <w:sz w:val="24"/>
          <w:szCs w:val="24"/>
          <w:lang w:val="bg-BG"/>
        </w:rPr>
        <w:t>на МОСВ при изпълнение</w:t>
      </w:r>
      <w:r w:rsidR="00BE2231" w:rsidRPr="0051723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 Програма ИНТЕРРЕГ VI-A Гърция-България 2021-2027</w:t>
      </w:r>
    </w:p>
    <w:p w14:paraId="3A5FD702" w14:textId="77777777" w:rsidR="00BE2231" w:rsidRPr="00517235" w:rsidRDefault="00BE2231" w:rsidP="005D6EDD">
      <w:pPr>
        <w:pStyle w:val="ListParagraph"/>
        <w:spacing w:before="120" w:after="0" w:line="360" w:lineRule="auto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9C8283E" w14:textId="77777777" w:rsidR="000F2CAE" w:rsidRPr="00517235" w:rsidRDefault="000F2CAE" w:rsidP="005D6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>В изпълнение на изискването по т. 1 от мерките за наблюдение и контрол при прилагането на Програмата, след изтичане на първия тригодишен период от прилагането им беше извършен преглед на изпълнението на предвидените мерки за предотвратяване, намаляване и ограничаване на възможните неблагоприятни последици върху околната среда.</w:t>
      </w:r>
    </w:p>
    <w:p w14:paraId="5EBC950F" w14:textId="7F9BD430" w:rsidR="000F2CAE" w:rsidRPr="00517235" w:rsidRDefault="00DA2300" w:rsidP="005D6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sz w:val="24"/>
          <w:szCs w:val="24"/>
          <w:lang w:val="bg-BG"/>
        </w:rPr>
        <w:t xml:space="preserve">По информация на Съвместния секретариат </w:t>
      </w:r>
      <w:r w:rsidR="0087086B">
        <w:rPr>
          <w:rFonts w:ascii="Times New Roman" w:hAnsi="Times New Roman" w:cs="Times New Roman"/>
          <w:sz w:val="24"/>
          <w:szCs w:val="24"/>
          <w:lang w:val="bg-BG"/>
        </w:rPr>
        <w:t>(изпратетна по електронна поща на</w:t>
      </w:r>
      <w:r w:rsidR="000E6A1F">
        <w:rPr>
          <w:rFonts w:ascii="Times New Roman" w:hAnsi="Times New Roman" w:cs="Times New Roman"/>
          <w:sz w:val="24"/>
          <w:szCs w:val="24"/>
        </w:rPr>
        <w:t xml:space="preserve"> 15.06.</w:t>
      </w:r>
      <w:r w:rsidR="0087086B">
        <w:rPr>
          <w:rFonts w:ascii="Times New Roman" w:hAnsi="Times New Roman" w:cs="Times New Roman"/>
          <w:sz w:val="24"/>
          <w:szCs w:val="24"/>
          <w:lang w:val="bg-BG"/>
        </w:rPr>
        <w:t xml:space="preserve">2026 г.), 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след и</w:t>
      </w:r>
      <w:r w:rsidR="000F2CAE" w:rsidRPr="00517235">
        <w:rPr>
          <w:rFonts w:ascii="Times New Roman" w:hAnsi="Times New Roman" w:cs="Times New Roman"/>
          <w:sz w:val="24"/>
          <w:szCs w:val="24"/>
          <w:lang w:val="bg-BG"/>
        </w:rPr>
        <w:t>звършен анализ на реализираните проектни дейности, процедурите за подбор и изпълнението на приложимите екологични изисквани</w:t>
      </w:r>
      <w:r w:rsidRPr="00517235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0F2CAE" w:rsidRPr="00517235">
        <w:rPr>
          <w:rFonts w:ascii="Times New Roman" w:hAnsi="Times New Roman" w:cs="Times New Roman"/>
          <w:sz w:val="24"/>
          <w:szCs w:val="24"/>
          <w:lang w:val="bg-BG"/>
        </w:rPr>
        <w:t>, към настоящия момент не са установени значителни неблагоприятни въздействия върху компонентите на околната среда и човешкото здраве, произтичащи от изпълнението на Програм</w:t>
      </w:r>
      <w:r w:rsidR="002E363C" w:rsidRPr="00517235">
        <w:rPr>
          <w:rFonts w:ascii="Times New Roman" w:hAnsi="Times New Roman" w:cs="Times New Roman"/>
          <w:sz w:val="24"/>
          <w:szCs w:val="24"/>
          <w:lang w:val="bg-BG"/>
        </w:rPr>
        <w:t>ата.</w:t>
      </w:r>
    </w:p>
    <w:p w14:paraId="03AF45AE" w14:textId="77777777" w:rsidR="005C42FE" w:rsidRPr="00517235" w:rsidRDefault="005C42FE" w:rsidP="005D6EDD">
      <w:pPr>
        <w:pStyle w:val="ListParagraph"/>
        <w:spacing w:before="120" w:after="0" w:line="360" w:lineRule="auto"/>
        <w:ind w:left="0"/>
        <w:contextualSpacing w:val="0"/>
        <w:jc w:val="right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17235">
        <w:rPr>
          <w:rFonts w:ascii="Times New Roman" w:hAnsi="Times New Roman" w:cs="Times New Roman"/>
          <w:b/>
          <w:i/>
          <w:sz w:val="24"/>
          <w:szCs w:val="24"/>
          <w:lang w:val="bg-BG"/>
        </w:rPr>
        <w:t>Таблица</w:t>
      </w:r>
      <w:r w:rsidR="000F2CAE" w:rsidRPr="00517235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за наблюдение и контрол</w:t>
      </w:r>
    </w:p>
    <w:p w14:paraId="7610E6E5" w14:textId="77777777" w:rsidR="002E363C" w:rsidRPr="00517235" w:rsidRDefault="002E363C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"/>
        <w:gridCol w:w="3877"/>
        <w:gridCol w:w="2982"/>
        <w:gridCol w:w="3364"/>
        <w:gridCol w:w="2293"/>
      </w:tblGrid>
      <w:tr w:rsidR="002E363C" w:rsidRPr="00517235" w14:paraId="48AD72A5" w14:textId="77777777" w:rsidTr="00171C8A">
        <w:tc>
          <w:tcPr>
            <w:tcW w:w="129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6D25C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670CDF1" w14:textId="77777777" w:rsidR="002E363C" w:rsidRPr="00517235" w:rsidRDefault="002E36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Мерки по Програма ИНТЕРРЕГ VI-A Гърция-България 2021 – 2027 г. за периода от 29.11.2022 г. до 31.12.2025 г.</w:t>
            </w:r>
          </w:p>
          <w:p w14:paraId="70996B12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2E363C" w:rsidRPr="00517235" w14:paraId="644323C6" w14:textId="77777777" w:rsidTr="00171C8A">
        <w:tc>
          <w:tcPr>
            <w:tcW w:w="4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140D5E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51986E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Параметър на околната среда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51802B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AE9AAE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</w:rPr>
              <w:t>Източник на информация</w:t>
            </w: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70F3BC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Честота на наблюдението</w:t>
            </w:r>
          </w:p>
        </w:tc>
      </w:tr>
      <w:tr w:rsidR="002E363C" w:rsidRPr="00517235" w14:paraId="31974818" w14:textId="77777777" w:rsidTr="00171C8A">
        <w:tc>
          <w:tcPr>
            <w:tcW w:w="478" w:type="dxa"/>
            <w:shd w:val="clear" w:color="auto" w:fill="DFF9E0"/>
          </w:tcPr>
          <w:p w14:paraId="7EC050C5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7" w:type="dxa"/>
            <w:shd w:val="clear" w:color="auto" w:fill="DFF9E0"/>
          </w:tcPr>
          <w:p w14:paraId="32E7A0B6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 xml:space="preserve">Недопускане на влошаване състоянието на водните тела при изпълнение на проектни предложения в близост до такива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обекти или свързани с ползване/засягане на водни тела</w:t>
            </w:r>
          </w:p>
        </w:tc>
        <w:tc>
          <w:tcPr>
            <w:tcW w:w="2982" w:type="dxa"/>
            <w:shd w:val="clear" w:color="auto" w:fill="DFF9E0"/>
          </w:tcPr>
          <w:p w14:paraId="7B0D256E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Проведени процедури по ОВОС/ЕО, ОС (когато са приложими);</w:t>
            </w:r>
          </w:p>
          <w:p w14:paraId="4261D975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Изпълнение на меркитеот крайните актове по ОВОС/ЕО/ОС (когато са предвидени за биологично разнообразие)</w:t>
            </w:r>
          </w:p>
        </w:tc>
        <w:tc>
          <w:tcPr>
            <w:tcW w:w="3364" w:type="dxa"/>
            <w:shd w:val="clear" w:color="auto" w:fill="DFF9E0"/>
          </w:tcPr>
          <w:p w14:paraId="3EE037F1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Бенефициенти</w:t>
            </w:r>
          </w:p>
        </w:tc>
        <w:tc>
          <w:tcPr>
            <w:tcW w:w="2293" w:type="dxa"/>
            <w:shd w:val="clear" w:color="auto" w:fill="DFF9E0"/>
          </w:tcPr>
          <w:p w14:paraId="3ACEFB9B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Периодично</w:t>
            </w:r>
          </w:p>
        </w:tc>
      </w:tr>
      <w:tr w:rsidR="002E363C" w:rsidRPr="00517235" w14:paraId="7C499E2E" w14:textId="77777777" w:rsidTr="00171C8A">
        <w:tc>
          <w:tcPr>
            <w:tcW w:w="478" w:type="dxa"/>
            <w:shd w:val="clear" w:color="auto" w:fill="DFF9E0"/>
          </w:tcPr>
          <w:p w14:paraId="13B591F2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7" w:type="dxa"/>
            <w:shd w:val="clear" w:color="auto" w:fill="DFF9E0"/>
          </w:tcPr>
          <w:p w14:paraId="37ACA07F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Население – здраве</w:t>
            </w:r>
          </w:p>
        </w:tc>
        <w:tc>
          <w:tcPr>
            <w:tcW w:w="2982" w:type="dxa"/>
            <w:shd w:val="clear" w:color="auto" w:fill="DFF9E0"/>
          </w:tcPr>
          <w:p w14:paraId="7495E8B9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Години на здравословна продължителност на живота</w:t>
            </w:r>
          </w:p>
          <w:p w14:paraId="360DF113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Брой трудови злополуки</w:t>
            </w:r>
          </w:p>
          <w:p w14:paraId="4FE64715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Процент на хората, живеещи под прага на бедността</w:t>
            </w:r>
          </w:p>
        </w:tc>
        <w:tc>
          <w:tcPr>
            <w:tcW w:w="3364" w:type="dxa"/>
            <w:shd w:val="clear" w:color="auto" w:fill="DFF9E0"/>
          </w:tcPr>
          <w:p w14:paraId="5041E105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Компетентни регионални дирекции</w:t>
            </w:r>
          </w:p>
        </w:tc>
        <w:tc>
          <w:tcPr>
            <w:tcW w:w="2293" w:type="dxa"/>
            <w:shd w:val="clear" w:color="auto" w:fill="DFF9E0"/>
          </w:tcPr>
          <w:p w14:paraId="0A626858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Годишно</w:t>
            </w:r>
          </w:p>
        </w:tc>
      </w:tr>
      <w:tr w:rsidR="002E363C" w:rsidRPr="00517235" w14:paraId="38EF9DC3" w14:textId="77777777" w:rsidTr="00171C8A">
        <w:tc>
          <w:tcPr>
            <w:tcW w:w="478" w:type="dxa"/>
            <w:shd w:val="clear" w:color="auto" w:fill="DFF9E0"/>
          </w:tcPr>
          <w:p w14:paraId="2F463CFA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7" w:type="dxa"/>
            <w:shd w:val="clear" w:color="auto" w:fill="DFF9E0"/>
          </w:tcPr>
          <w:p w14:paraId="349E1CCF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Почви</w:t>
            </w:r>
          </w:p>
        </w:tc>
        <w:tc>
          <w:tcPr>
            <w:tcW w:w="2982" w:type="dxa"/>
            <w:shd w:val="clear" w:color="auto" w:fill="DFF9E0"/>
          </w:tcPr>
          <w:p w14:paraId="30C410CF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Процент на деградирала земя</w:t>
            </w:r>
          </w:p>
          <w:p w14:paraId="6CC5A658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Количества отпадъци, депониранив депата</w:t>
            </w:r>
          </w:p>
          <w:p w14:paraId="758B734E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Общо генерирани отпадъци</w:t>
            </w:r>
          </w:p>
          <w:p w14:paraId="01D36290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Количество на рециклирани хартия, стъкло, пластмаса, метали </w:t>
            </w:r>
          </w:p>
        </w:tc>
        <w:tc>
          <w:tcPr>
            <w:tcW w:w="3364" w:type="dxa"/>
            <w:shd w:val="clear" w:color="auto" w:fill="DFF9E0"/>
          </w:tcPr>
          <w:p w14:paraId="2578DF18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Компетентни регионални дирекции</w:t>
            </w:r>
          </w:p>
          <w:p w14:paraId="291358B7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63F296A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Оператори за управление на съоръженията за третиране и обезвреждане на отпадъци</w:t>
            </w:r>
          </w:p>
        </w:tc>
        <w:tc>
          <w:tcPr>
            <w:tcW w:w="2293" w:type="dxa"/>
            <w:shd w:val="clear" w:color="auto" w:fill="DFF9E0"/>
          </w:tcPr>
          <w:p w14:paraId="2024A58C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Годишно</w:t>
            </w:r>
          </w:p>
        </w:tc>
      </w:tr>
      <w:tr w:rsidR="002E363C" w:rsidRPr="00517235" w14:paraId="4EF938A0" w14:textId="77777777" w:rsidTr="00171C8A">
        <w:tc>
          <w:tcPr>
            <w:tcW w:w="478" w:type="dxa"/>
            <w:shd w:val="clear" w:color="auto" w:fill="DFF9E0"/>
          </w:tcPr>
          <w:p w14:paraId="5B841AA1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77" w:type="dxa"/>
            <w:shd w:val="clear" w:color="auto" w:fill="DFF9E0"/>
          </w:tcPr>
          <w:p w14:paraId="75FE75B1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Води</w:t>
            </w:r>
          </w:p>
        </w:tc>
        <w:tc>
          <w:tcPr>
            <w:tcW w:w="2982" w:type="dxa"/>
            <w:shd w:val="clear" w:color="auto" w:fill="DFF9E0"/>
          </w:tcPr>
          <w:p w14:paraId="3DF5F406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Качество на повърхностните води (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BOD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5,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проводимост, фекални колиформи)</w:t>
            </w:r>
          </w:p>
          <w:p w14:paraId="1F9F533D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Качество на подземните води (нитрати, фосфати, проводимост, тежки метали)</w:t>
            </w:r>
          </w:p>
          <w:p w14:paraId="3E490275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Качество на водите за къпане (фекални колиформи, прозрачност)</w:t>
            </w:r>
          </w:p>
          <w:p w14:paraId="11F01E4B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Процент на рециклиране или повторно използване на водата</w:t>
            </w:r>
          </w:p>
        </w:tc>
        <w:tc>
          <w:tcPr>
            <w:tcW w:w="3364" w:type="dxa"/>
            <w:shd w:val="clear" w:color="auto" w:fill="DFF9E0"/>
          </w:tcPr>
          <w:p w14:paraId="43C6EA47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Компетентни регионални дирекции</w:t>
            </w:r>
          </w:p>
          <w:p w14:paraId="41168720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84AAE98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Органи за управление на ПОСВ</w:t>
            </w:r>
          </w:p>
          <w:p w14:paraId="0418BA24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3A99E0A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Министерство на околната среда</w:t>
            </w:r>
          </w:p>
        </w:tc>
        <w:tc>
          <w:tcPr>
            <w:tcW w:w="2293" w:type="dxa"/>
            <w:shd w:val="clear" w:color="auto" w:fill="DFF9E0"/>
          </w:tcPr>
          <w:p w14:paraId="5D20D0DB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Вземане на проби и измервания в съответствие с екологичните условия на всяка ПОСВ. Национална система за мониторинг на качеството на повърхностните води за Гърция съгласно програмата за мониторинг на качеството на водите за къпане на плажове за Гърция</w:t>
            </w:r>
          </w:p>
        </w:tc>
      </w:tr>
      <w:tr w:rsidR="002E363C" w:rsidRPr="00517235" w14:paraId="56E4CB56" w14:textId="77777777" w:rsidTr="00171C8A">
        <w:tc>
          <w:tcPr>
            <w:tcW w:w="478" w:type="dxa"/>
            <w:shd w:val="clear" w:color="auto" w:fill="DFF9E0"/>
          </w:tcPr>
          <w:p w14:paraId="49FE2E83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7" w:type="dxa"/>
            <w:shd w:val="clear" w:color="auto" w:fill="DFF9E0"/>
          </w:tcPr>
          <w:p w14:paraId="374B3002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Въздух</w:t>
            </w:r>
          </w:p>
          <w:p w14:paraId="5A7D7D17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Климатични фактори</w:t>
            </w:r>
          </w:p>
        </w:tc>
        <w:tc>
          <w:tcPr>
            <w:tcW w:w="2982" w:type="dxa"/>
            <w:shd w:val="clear" w:color="auto" w:fill="DFF9E0"/>
          </w:tcPr>
          <w:p w14:paraId="1B34B652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Дни на превишаване на нормитеза качеството на въздуха (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2, </w:t>
            </w: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2, ФПЧ10)</w:t>
            </w:r>
          </w:p>
          <w:p w14:paraId="50432EE5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Емисии по източник</w:t>
            </w:r>
          </w:p>
          <w:p w14:paraId="3C6AEF7E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Емисии на парникови газове</w:t>
            </w:r>
          </w:p>
          <w:p w14:paraId="6D72889E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Развитие на консумацията на енергия</w:t>
            </w:r>
          </w:p>
          <w:p w14:paraId="5DEFF90D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Процент на ВЕИ</w:t>
            </w:r>
          </w:p>
          <w:p w14:paraId="5A32580A" w14:textId="77777777" w:rsidR="002E363C" w:rsidRPr="00517235" w:rsidRDefault="002E363C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Промени в броя на пътническите превози</w:t>
            </w:r>
          </w:p>
        </w:tc>
        <w:tc>
          <w:tcPr>
            <w:tcW w:w="3364" w:type="dxa"/>
            <w:shd w:val="clear" w:color="auto" w:fill="DFF9E0"/>
          </w:tcPr>
          <w:p w14:paraId="58685C2F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Компетентни регионални дирекции</w:t>
            </w:r>
          </w:p>
          <w:p w14:paraId="36A56E23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37F003F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Министерство на околната среда</w:t>
            </w:r>
          </w:p>
        </w:tc>
        <w:tc>
          <w:tcPr>
            <w:tcW w:w="2293" w:type="dxa"/>
            <w:shd w:val="clear" w:color="auto" w:fill="DFF9E0"/>
          </w:tcPr>
          <w:p w14:paraId="3A3927F6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Годишно</w:t>
            </w:r>
          </w:p>
          <w:p w14:paraId="3DBECF40" w14:textId="77777777" w:rsidR="00C2595D" w:rsidRPr="00517235" w:rsidRDefault="00C2595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C219DA5" w14:textId="77777777" w:rsidR="00C2595D" w:rsidRPr="00517235" w:rsidRDefault="00C2595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0A9A327" w14:textId="77777777" w:rsidR="00C2595D" w:rsidRPr="00517235" w:rsidRDefault="00C2595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Очаквано въздействие след одобрение на проектите в Първа покана</w:t>
            </w:r>
          </w:p>
        </w:tc>
      </w:tr>
      <w:tr w:rsidR="002E363C" w:rsidRPr="00517235" w14:paraId="65F2BD00" w14:textId="77777777" w:rsidTr="00171C8A">
        <w:tc>
          <w:tcPr>
            <w:tcW w:w="478" w:type="dxa"/>
            <w:shd w:val="clear" w:color="auto" w:fill="DFF9E0"/>
          </w:tcPr>
          <w:p w14:paraId="2259769D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7" w:type="dxa"/>
            <w:shd w:val="clear" w:color="auto" w:fill="DFF9E0"/>
          </w:tcPr>
          <w:p w14:paraId="5D282CBD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Културно наследство (включително архитектурно и археологическо) ландшафт</w:t>
            </w:r>
          </w:p>
        </w:tc>
        <w:tc>
          <w:tcPr>
            <w:tcW w:w="2982" w:type="dxa"/>
            <w:shd w:val="clear" w:color="auto" w:fill="DFF9E0"/>
          </w:tcPr>
          <w:p w14:paraId="69494857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Брой реставрирани запазени сгради</w:t>
            </w:r>
          </w:p>
          <w:p w14:paraId="3B693135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Брой посетители</w:t>
            </w:r>
          </w:p>
          <w:p w14:paraId="4D91A4E8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Градска зелена инфраструктура на жител</w:t>
            </w:r>
          </w:p>
        </w:tc>
        <w:tc>
          <w:tcPr>
            <w:tcW w:w="3364" w:type="dxa"/>
            <w:shd w:val="clear" w:color="auto" w:fill="DFF9E0"/>
          </w:tcPr>
          <w:p w14:paraId="67702C46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Компетентни регионални дирекции</w:t>
            </w:r>
          </w:p>
          <w:p w14:paraId="555F6B05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DFF9E0"/>
          </w:tcPr>
          <w:p w14:paraId="489986BE" w14:textId="77777777" w:rsidR="002E363C" w:rsidRPr="00517235" w:rsidRDefault="002E363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Годишно</w:t>
            </w:r>
          </w:p>
          <w:p w14:paraId="44D2FE64" w14:textId="77777777" w:rsidR="00C2595D" w:rsidRPr="00517235" w:rsidRDefault="00C2595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61439" w14:textId="77777777" w:rsidR="00C2595D" w:rsidRPr="00517235" w:rsidRDefault="00C2595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5">
              <w:rPr>
                <w:rFonts w:ascii="Times New Roman" w:hAnsi="Times New Roman" w:cs="Times New Roman"/>
                <w:sz w:val="24"/>
                <w:szCs w:val="24"/>
              </w:rPr>
              <w:t>Очаквано въздействие след одобрение на проектите в Първа покана</w:t>
            </w:r>
          </w:p>
        </w:tc>
      </w:tr>
    </w:tbl>
    <w:p w14:paraId="137FD58B" w14:textId="6BE158D4" w:rsidR="0002373B" w:rsidRPr="00517235" w:rsidRDefault="0002373B" w:rsidP="005D6ED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  <w:sectPr w:rsidR="0002373B" w:rsidRPr="00517235" w:rsidSect="00171C8A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D552AF3" w14:textId="77777777" w:rsidR="005C42FE" w:rsidRPr="00517235" w:rsidRDefault="005C42FE" w:rsidP="005D6E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C42FE" w:rsidRPr="0051723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F491D" w14:textId="77777777" w:rsidR="00E34358" w:rsidRDefault="00E34358" w:rsidP="0086021D">
      <w:pPr>
        <w:spacing w:after="0" w:line="240" w:lineRule="auto"/>
      </w:pPr>
      <w:r>
        <w:separator/>
      </w:r>
    </w:p>
  </w:endnote>
  <w:endnote w:type="continuationSeparator" w:id="0">
    <w:p w14:paraId="6C705B92" w14:textId="77777777" w:rsidR="00E34358" w:rsidRDefault="00E34358" w:rsidP="0086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318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01A1C" w14:textId="45DC67D8" w:rsidR="001B7775" w:rsidRDefault="001B77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4B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48368667" w14:textId="77777777" w:rsidR="001B7775" w:rsidRDefault="001B77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438EA" w14:textId="77777777" w:rsidR="001B7775" w:rsidRDefault="001B7775">
    <w:pPr>
      <w:pStyle w:val="Footer"/>
    </w:pPr>
  </w:p>
  <w:p w14:paraId="18683AFB" w14:textId="77777777" w:rsidR="001B7775" w:rsidRDefault="001B7775"/>
  <w:p w14:paraId="71AB7E15" w14:textId="77777777" w:rsidR="001B7775" w:rsidRDefault="001B77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354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FE2C8D" w14:textId="11FD9079" w:rsidR="001B7775" w:rsidRDefault="001B77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EA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7FFDB1C" w14:textId="77777777" w:rsidR="001B7775" w:rsidRDefault="001B7775">
    <w:pPr>
      <w:pStyle w:val="Footer"/>
    </w:pPr>
  </w:p>
  <w:p w14:paraId="5D85C2B9" w14:textId="77777777" w:rsidR="001B7775" w:rsidRDefault="001B7775"/>
  <w:p w14:paraId="6F8C0F37" w14:textId="77777777" w:rsidR="001B7775" w:rsidRDefault="001B777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78F6" w14:textId="77777777" w:rsidR="001B7775" w:rsidRDefault="001B7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210E0" w14:textId="77777777" w:rsidR="00E34358" w:rsidRDefault="00E34358" w:rsidP="0086021D">
      <w:pPr>
        <w:spacing w:after="0" w:line="240" w:lineRule="auto"/>
      </w:pPr>
      <w:r>
        <w:separator/>
      </w:r>
    </w:p>
  </w:footnote>
  <w:footnote w:type="continuationSeparator" w:id="0">
    <w:p w14:paraId="37697778" w14:textId="77777777" w:rsidR="00E34358" w:rsidRDefault="00E34358" w:rsidP="0086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59BAE" w14:textId="7865AA93" w:rsidR="001B7775" w:rsidRDefault="001B7775">
    <w:pPr>
      <w:pStyle w:val="Header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07FD" w14:textId="77777777" w:rsidR="001B7775" w:rsidRDefault="001B7775">
    <w:pPr>
      <w:pStyle w:val="Header"/>
    </w:pPr>
  </w:p>
  <w:p w14:paraId="438C2072" w14:textId="77777777" w:rsidR="001B7775" w:rsidRDefault="001B7775"/>
  <w:p w14:paraId="71C57D58" w14:textId="77777777" w:rsidR="001B7775" w:rsidRDefault="001B77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7281E" w14:textId="77777777" w:rsidR="001B7775" w:rsidRDefault="001B7775">
    <w:pPr>
      <w:pStyle w:val="Header"/>
    </w:pPr>
  </w:p>
  <w:p w14:paraId="714ACF47" w14:textId="77777777" w:rsidR="001B7775" w:rsidRDefault="001B7775">
    <w:pPr>
      <w:pStyle w:val="Header"/>
    </w:pPr>
  </w:p>
  <w:p w14:paraId="5DFEC277" w14:textId="77777777" w:rsidR="001B7775" w:rsidRDefault="001B7775"/>
  <w:p w14:paraId="117729D2" w14:textId="77777777" w:rsidR="001B7775" w:rsidRDefault="001B777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AA633" w14:textId="77777777" w:rsidR="001B7775" w:rsidRDefault="001B77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536B"/>
    <w:multiLevelType w:val="hybridMultilevel"/>
    <w:tmpl w:val="9BF0C87E"/>
    <w:lvl w:ilvl="0" w:tplc="6C8E05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7577F"/>
    <w:multiLevelType w:val="hybridMultilevel"/>
    <w:tmpl w:val="9486689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CADD8C">
      <w:numFmt w:val="bullet"/>
      <w:lvlText w:val="-"/>
      <w:lvlJc w:val="left"/>
      <w:pPr>
        <w:ind w:left="1505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6F31BA1"/>
    <w:multiLevelType w:val="hybridMultilevel"/>
    <w:tmpl w:val="71C6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E2F44"/>
    <w:multiLevelType w:val="multilevel"/>
    <w:tmpl w:val="DBDC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B2278"/>
    <w:multiLevelType w:val="hybridMultilevel"/>
    <w:tmpl w:val="0D26CED6"/>
    <w:lvl w:ilvl="0" w:tplc="FAFE7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325C"/>
    <w:multiLevelType w:val="hybridMultilevel"/>
    <w:tmpl w:val="8A8CC330"/>
    <w:lvl w:ilvl="0" w:tplc="85D0E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340831"/>
    <w:multiLevelType w:val="multilevel"/>
    <w:tmpl w:val="C38A0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pacing w:val="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7E00488"/>
    <w:multiLevelType w:val="hybridMultilevel"/>
    <w:tmpl w:val="7C822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87A09"/>
    <w:multiLevelType w:val="hybridMultilevel"/>
    <w:tmpl w:val="16C4C3FC"/>
    <w:lvl w:ilvl="0" w:tplc="D3EEF5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E2490F"/>
    <w:multiLevelType w:val="hybridMultilevel"/>
    <w:tmpl w:val="1834D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80CB5"/>
    <w:multiLevelType w:val="hybridMultilevel"/>
    <w:tmpl w:val="777C4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5DBE"/>
    <w:multiLevelType w:val="hybridMultilevel"/>
    <w:tmpl w:val="FBC8E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3514BB"/>
    <w:multiLevelType w:val="hybridMultilevel"/>
    <w:tmpl w:val="A41C77B8"/>
    <w:lvl w:ilvl="0" w:tplc="2368B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B5975"/>
    <w:multiLevelType w:val="multilevel"/>
    <w:tmpl w:val="57606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4" w15:restartNumberingAfterBreak="0">
    <w:nsid w:val="41D42164"/>
    <w:multiLevelType w:val="hybridMultilevel"/>
    <w:tmpl w:val="5496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0673F"/>
    <w:multiLevelType w:val="hybridMultilevel"/>
    <w:tmpl w:val="3716A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0833B6"/>
    <w:multiLevelType w:val="hybridMultilevel"/>
    <w:tmpl w:val="F31AD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018F"/>
    <w:multiLevelType w:val="hybridMultilevel"/>
    <w:tmpl w:val="0D0C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C3977"/>
    <w:multiLevelType w:val="hybridMultilevel"/>
    <w:tmpl w:val="CE0EA49C"/>
    <w:lvl w:ilvl="0" w:tplc="0D2A70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9543A15"/>
    <w:multiLevelType w:val="hybridMultilevel"/>
    <w:tmpl w:val="BAC6D44A"/>
    <w:lvl w:ilvl="0" w:tplc="019AC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E1351"/>
    <w:multiLevelType w:val="hybridMultilevel"/>
    <w:tmpl w:val="7B9441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DD24C4"/>
    <w:multiLevelType w:val="multilevel"/>
    <w:tmpl w:val="07CC59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2" w15:restartNumberingAfterBreak="0">
    <w:nsid w:val="5E360CEE"/>
    <w:multiLevelType w:val="multilevel"/>
    <w:tmpl w:val="811A3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3" w15:restartNumberingAfterBreak="0">
    <w:nsid w:val="630E66AA"/>
    <w:multiLevelType w:val="hybridMultilevel"/>
    <w:tmpl w:val="9D08D7F0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62749AEE">
      <w:numFmt w:val="decimal"/>
      <w:lvlText w:val=""/>
      <w:lvlJc w:val="left"/>
    </w:lvl>
    <w:lvl w:ilvl="2" w:tplc="1D34CAEE">
      <w:numFmt w:val="decimal"/>
      <w:lvlText w:val=""/>
      <w:lvlJc w:val="left"/>
    </w:lvl>
    <w:lvl w:ilvl="3" w:tplc="8522D0B8">
      <w:numFmt w:val="decimal"/>
      <w:lvlText w:val=""/>
      <w:lvlJc w:val="left"/>
    </w:lvl>
    <w:lvl w:ilvl="4" w:tplc="9FCA6FCA">
      <w:numFmt w:val="decimal"/>
      <w:lvlText w:val=""/>
      <w:lvlJc w:val="left"/>
    </w:lvl>
    <w:lvl w:ilvl="5" w:tplc="F8EACAA6">
      <w:numFmt w:val="decimal"/>
      <w:lvlText w:val=""/>
      <w:lvlJc w:val="left"/>
    </w:lvl>
    <w:lvl w:ilvl="6" w:tplc="E6BAF4AA">
      <w:numFmt w:val="decimal"/>
      <w:lvlText w:val=""/>
      <w:lvlJc w:val="left"/>
    </w:lvl>
    <w:lvl w:ilvl="7" w:tplc="DAF2235A">
      <w:numFmt w:val="decimal"/>
      <w:lvlText w:val=""/>
      <w:lvlJc w:val="left"/>
    </w:lvl>
    <w:lvl w:ilvl="8" w:tplc="7C7C0646">
      <w:numFmt w:val="decimal"/>
      <w:lvlText w:val=""/>
      <w:lvlJc w:val="left"/>
    </w:lvl>
  </w:abstractNum>
  <w:abstractNum w:abstractNumId="24" w15:restartNumberingAfterBreak="0">
    <w:nsid w:val="6AE92B29"/>
    <w:multiLevelType w:val="multilevel"/>
    <w:tmpl w:val="D8DA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33FAD"/>
    <w:multiLevelType w:val="hybridMultilevel"/>
    <w:tmpl w:val="CE0EA49C"/>
    <w:lvl w:ilvl="0" w:tplc="0D2A70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2FC040B"/>
    <w:multiLevelType w:val="hybridMultilevel"/>
    <w:tmpl w:val="7BF4B9F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6"/>
  </w:num>
  <w:num w:numId="4">
    <w:abstractNumId w:val="17"/>
  </w:num>
  <w:num w:numId="5">
    <w:abstractNumId w:val="6"/>
  </w:num>
  <w:num w:numId="6">
    <w:abstractNumId w:val="1"/>
  </w:num>
  <w:num w:numId="7">
    <w:abstractNumId w:val="13"/>
  </w:num>
  <w:num w:numId="8">
    <w:abstractNumId w:val="26"/>
  </w:num>
  <w:num w:numId="9">
    <w:abstractNumId w:val="25"/>
  </w:num>
  <w:num w:numId="10">
    <w:abstractNumId w:val="21"/>
  </w:num>
  <w:num w:numId="11">
    <w:abstractNumId w:val="9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18"/>
  </w:num>
  <w:num w:numId="19">
    <w:abstractNumId w:val="10"/>
  </w:num>
  <w:num w:numId="20">
    <w:abstractNumId w:val="14"/>
  </w:num>
  <w:num w:numId="21">
    <w:abstractNumId w:val="3"/>
  </w:num>
  <w:num w:numId="22">
    <w:abstractNumId w:val="4"/>
  </w:num>
  <w:num w:numId="23">
    <w:abstractNumId w:val="11"/>
  </w:num>
  <w:num w:numId="24">
    <w:abstractNumId w:val="7"/>
  </w:num>
  <w:num w:numId="25">
    <w:abstractNumId w:val="23"/>
    <w:lvlOverride w:ilvl="0">
      <w:startOverride w:val="1"/>
    </w:lvlOverride>
  </w:num>
  <w:num w:numId="26">
    <w:abstractNumId w:val="0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59"/>
    <w:rsid w:val="00006E13"/>
    <w:rsid w:val="0002373B"/>
    <w:rsid w:val="000248C1"/>
    <w:rsid w:val="000809F8"/>
    <w:rsid w:val="000813D0"/>
    <w:rsid w:val="0008529B"/>
    <w:rsid w:val="000973AC"/>
    <w:rsid w:val="000A13EC"/>
    <w:rsid w:val="000A6721"/>
    <w:rsid w:val="000C0FF0"/>
    <w:rsid w:val="000C33FF"/>
    <w:rsid w:val="000E324B"/>
    <w:rsid w:val="000E6A1F"/>
    <w:rsid w:val="000F2CAE"/>
    <w:rsid w:val="000F3079"/>
    <w:rsid w:val="000F4DC8"/>
    <w:rsid w:val="00136C40"/>
    <w:rsid w:val="00147629"/>
    <w:rsid w:val="001559E3"/>
    <w:rsid w:val="00162931"/>
    <w:rsid w:val="00171C8A"/>
    <w:rsid w:val="00172F30"/>
    <w:rsid w:val="001769BC"/>
    <w:rsid w:val="00184566"/>
    <w:rsid w:val="0019167B"/>
    <w:rsid w:val="001A3960"/>
    <w:rsid w:val="001A4D70"/>
    <w:rsid w:val="001A55CA"/>
    <w:rsid w:val="001B7775"/>
    <w:rsid w:val="001E7D6C"/>
    <w:rsid w:val="00203D61"/>
    <w:rsid w:val="00232F67"/>
    <w:rsid w:val="00266F75"/>
    <w:rsid w:val="00277D3C"/>
    <w:rsid w:val="00287F22"/>
    <w:rsid w:val="00290438"/>
    <w:rsid w:val="00296251"/>
    <w:rsid w:val="002A64BD"/>
    <w:rsid w:val="002D73D1"/>
    <w:rsid w:val="002E1FE5"/>
    <w:rsid w:val="002E363C"/>
    <w:rsid w:val="002E5EB1"/>
    <w:rsid w:val="002F1518"/>
    <w:rsid w:val="002F35E9"/>
    <w:rsid w:val="002F7904"/>
    <w:rsid w:val="0030421E"/>
    <w:rsid w:val="00307353"/>
    <w:rsid w:val="0031407A"/>
    <w:rsid w:val="00323A1B"/>
    <w:rsid w:val="003334A6"/>
    <w:rsid w:val="00351790"/>
    <w:rsid w:val="00377E49"/>
    <w:rsid w:val="00390AF4"/>
    <w:rsid w:val="003A4249"/>
    <w:rsid w:val="003B4AF5"/>
    <w:rsid w:val="003C0870"/>
    <w:rsid w:val="003E0AD0"/>
    <w:rsid w:val="003F166B"/>
    <w:rsid w:val="004040DB"/>
    <w:rsid w:val="00405959"/>
    <w:rsid w:val="00411532"/>
    <w:rsid w:val="00424847"/>
    <w:rsid w:val="00432128"/>
    <w:rsid w:val="004358DE"/>
    <w:rsid w:val="0045721E"/>
    <w:rsid w:val="00457465"/>
    <w:rsid w:val="00462D0D"/>
    <w:rsid w:val="0047179E"/>
    <w:rsid w:val="0047197A"/>
    <w:rsid w:val="00476C21"/>
    <w:rsid w:val="00477AD1"/>
    <w:rsid w:val="004865AB"/>
    <w:rsid w:val="00491E8A"/>
    <w:rsid w:val="00494897"/>
    <w:rsid w:val="004B243D"/>
    <w:rsid w:val="004B6B8A"/>
    <w:rsid w:val="004C3515"/>
    <w:rsid w:val="004C6B70"/>
    <w:rsid w:val="004D5357"/>
    <w:rsid w:val="004E581B"/>
    <w:rsid w:val="004F621A"/>
    <w:rsid w:val="005013B2"/>
    <w:rsid w:val="00506D34"/>
    <w:rsid w:val="0050797A"/>
    <w:rsid w:val="00512D76"/>
    <w:rsid w:val="005148C1"/>
    <w:rsid w:val="00517235"/>
    <w:rsid w:val="0052138D"/>
    <w:rsid w:val="00523585"/>
    <w:rsid w:val="00524B5E"/>
    <w:rsid w:val="00536FEE"/>
    <w:rsid w:val="00547F1C"/>
    <w:rsid w:val="00555A9F"/>
    <w:rsid w:val="00557CC1"/>
    <w:rsid w:val="00572B60"/>
    <w:rsid w:val="005848C6"/>
    <w:rsid w:val="00584A25"/>
    <w:rsid w:val="005B1946"/>
    <w:rsid w:val="005B3740"/>
    <w:rsid w:val="005C0E35"/>
    <w:rsid w:val="005C42FE"/>
    <w:rsid w:val="005C6A06"/>
    <w:rsid w:val="005D269D"/>
    <w:rsid w:val="005D6EDD"/>
    <w:rsid w:val="005E0900"/>
    <w:rsid w:val="005E6D62"/>
    <w:rsid w:val="00615736"/>
    <w:rsid w:val="00625A93"/>
    <w:rsid w:val="00644B59"/>
    <w:rsid w:val="00645BCC"/>
    <w:rsid w:val="006508E8"/>
    <w:rsid w:val="00682C31"/>
    <w:rsid w:val="00694521"/>
    <w:rsid w:val="006A5F05"/>
    <w:rsid w:val="006A6C15"/>
    <w:rsid w:val="006B1B25"/>
    <w:rsid w:val="006B3ECD"/>
    <w:rsid w:val="006C1A1A"/>
    <w:rsid w:val="006C7CD1"/>
    <w:rsid w:val="006D06CC"/>
    <w:rsid w:val="006D45C6"/>
    <w:rsid w:val="006D6EA1"/>
    <w:rsid w:val="006E5E6A"/>
    <w:rsid w:val="0072679D"/>
    <w:rsid w:val="00762618"/>
    <w:rsid w:val="007973B5"/>
    <w:rsid w:val="007A3910"/>
    <w:rsid w:val="007A5B47"/>
    <w:rsid w:val="007B45C9"/>
    <w:rsid w:val="007C609B"/>
    <w:rsid w:val="007D797B"/>
    <w:rsid w:val="007E1953"/>
    <w:rsid w:val="007F31E8"/>
    <w:rsid w:val="00815493"/>
    <w:rsid w:val="00833091"/>
    <w:rsid w:val="00837700"/>
    <w:rsid w:val="00841C64"/>
    <w:rsid w:val="0086021D"/>
    <w:rsid w:val="0087086B"/>
    <w:rsid w:val="00892710"/>
    <w:rsid w:val="00893A62"/>
    <w:rsid w:val="00895BD7"/>
    <w:rsid w:val="008A31BB"/>
    <w:rsid w:val="008D446F"/>
    <w:rsid w:val="008D4715"/>
    <w:rsid w:val="008D6979"/>
    <w:rsid w:val="008D7128"/>
    <w:rsid w:val="008E0844"/>
    <w:rsid w:val="008E210F"/>
    <w:rsid w:val="008F3580"/>
    <w:rsid w:val="0090007C"/>
    <w:rsid w:val="00901FC0"/>
    <w:rsid w:val="00902F2B"/>
    <w:rsid w:val="00905F85"/>
    <w:rsid w:val="009121B7"/>
    <w:rsid w:val="00912AF6"/>
    <w:rsid w:val="00945183"/>
    <w:rsid w:val="009576D2"/>
    <w:rsid w:val="00963008"/>
    <w:rsid w:val="009664D9"/>
    <w:rsid w:val="00972572"/>
    <w:rsid w:val="00975966"/>
    <w:rsid w:val="00980D80"/>
    <w:rsid w:val="0098693C"/>
    <w:rsid w:val="009B0CC5"/>
    <w:rsid w:val="009C5516"/>
    <w:rsid w:val="009D0C2C"/>
    <w:rsid w:val="009E711C"/>
    <w:rsid w:val="009F0039"/>
    <w:rsid w:val="009F3C07"/>
    <w:rsid w:val="009F64ED"/>
    <w:rsid w:val="00A16162"/>
    <w:rsid w:val="00A32C00"/>
    <w:rsid w:val="00A36534"/>
    <w:rsid w:val="00A4342C"/>
    <w:rsid w:val="00A53188"/>
    <w:rsid w:val="00A55696"/>
    <w:rsid w:val="00A7234B"/>
    <w:rsid w:val="00A72F6B"/>
    <w:rsid w:val="00A82AE7"/>
    <w:rsid w:val="00A8609A"/>
    <w:rsid w:val="00A97899"/>
    <w:rsid w:val="00AA4697"/>
    <w:rsid w:val="00AB4854"/>
    <w:rsid w:val="00AB710B"/>
    <w:rsid w:val="00AC5CBD"/>
    <w:rsid w:val="00AE1715"/>
    <w:rsid w:val="00B0155B"/>
    <w:rsid w:val="00B17593"/>
    <w:rsid w:val="00B22E19"/>
    <w:rsid w:val="00B4592F"/>
    <w:rsid w:val="00B46781"/>
    <w:rsid w:val="00B57954"/>
    <w:rsid w:val="00B6763F"/>
    <w:rsid w:val="00B7011F"/>
    <w:rsid w:val="00B71C1D"/>
    <w:rsid w:val="00B72C87"/>
    <w:rsid w:val="00B75BC6"/>
    <w:rsid w:val="00B95367"/>
    <w:rsid w:val="00BA142A"/>
    <w:rsid w:val="00BA5DAF"/>
    <w:rsid w:val="00BC0D79"/>
    <w:rsid w:val="00BD5A54"/>
    <w:rsid w:val="00BD7617"/>
    <w:rsid w:val="00BE2231"/>
    <w:rsid w:val="00BE425C"/>
    <w:rsid w:val="00BF4739"/>
    <w:rsid w:val="00BF6C9E"/>
    <w:rsid w:val="00C012D7"/>
    <w:rsid w:val="00C14C2E"/>
    <w:rsid w:val="00C2595D"/>
    <w:rsid w:val="00C366B9"/>
    <w:rsid w:val="00C375EB"/>
    <w:rsid w:val="00C551ED"/>
    <w:rsid w:val="00C74288"/>
    <w:rsid w:val="00C74C65"/>
    <w:rsid w:val="00C87367"/>
    <w:rsid w:val="00CA3EB9"/>
    <w:rsid w:val="00CB11DC"/>
    <w:rsid w:val="00CC0B0F"/>
    <w:rsid w:val="00CD798A"/>
    <w:rsid w:val="00D020C4"/>
    <w:rsid w:val="00D17FF9"/>
    <w:rsid w:val="00D30470"/>
    <w:rsid w:val="00D31A9A"/>
    <w:rsid w:val="00D347F9"/>
    <w:rsid w:val="00D4579D"/>
    <w:rsid w:val="00D47C40"/>
    <w:rsid w:val="00D54903"/>
    <w:rsid w:val="00D623EA"/>
    <w:rsid w:val="00D64959"/>
    <w:rsid w:val="00D65926"/>
    <w:rsid w:val="00D92D25"/>
    <w:rsid w:val="00D96163"/>
    <w:rsid w:val="00DA1342"/>
    <w:rsid w:val="00DA2300"/>
    <w:rsid w:val="00DC2BF9"/>
    <w:rsid w:val="00DD073E"/>
    <w:rsid w:val="00DE095F"/>
    <w:rsid w:val="00E0466A"/>
    <w:rsid w:val="00E22BD4"/>
    <w:rsid w:val="00E24209"/>
    <w:rsid w:val="00E34358"/>
    <w:rsid w:val="00E51E5A"/>
    <w:rsid w:val="00E61BF1"/>
    <w:rsid w:val="00E72E63"/>
    <w:rsid w:val="00E7385C"/>
    <w:rsid w:val="00E76E02"/>
    <w:rsid w:val="00E81C8A"/>
    <w:rsid w:val="00E874C3"/>
    <w:rsid w:val="00EA64D7"/>
    <w:rsid w:val="00EB50FD"/>
    <w:rsid w:val="00ED2958"/>
    <w:rsid w:val="00ED2C0D"/>
    <w:rsid w:val="00EE03C3"/>
    <w:rsid w:val="00F12A3F"/>
    <w:rsid w:val="00F3220E"/>
    <w:rsid w:val="00F34DB0"/>
    <w:rsid w:val="00F35D1A"/>
    <w:rsid w:val="00F35D67"/>
    <w:rsid w:val="00F67255"/>
    <w:rsid w:val="00F72C15"/>
    <w:rsid w:val="00F7417E"/>
    <w:rsid w:val="00FA5514"/>
    <w:rsid w:val="00FB20AA"/>
    <w:rsid w:val="00FC2EA7"/>
    <w:rsid w:val="00FD0201"/>
    <w:rsid w:val="00FD1E6D"/>
    <w:rsid w:val="00FE1F6C"/>
    <w:rsid w:val="00FE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39107"/>
  <w15:chartTrackingRefBased/>
  <w15:docId w15:val="{3B455994-E285-43DA-A80B-19A19E7C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580"/>
  </w:style>
  <w:style w:type="paragraph" w:styleId="Heading2">
    <w:name w:val="heading 2"/>
    <w:link w:val="Heading2Char"/>
    <w:qFormat/>
    <w:rsid w:val="00BE2231"/>
    <w:pPr>
      <w:spacing w:before="240" w:after="120" w:line="240" w:lineRule="auto"/>
      <w:outlineLvl w:val="1"/>
    </w:pPr>
    <w:rPr>
      <w:rFonts w:ascii="Arial" w:eastAsia="Arial" w:hAnsi="Arial" w:cs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1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2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21D"/>
  </w:style>
  <w:style w:type="paragraph" w:styleId="Footer">
    <w:name w:val="footer"/>
    <w:basedOn w:val="Normal"/>
    <w:link w:val="FooterChar"/>
    <w:uiPriority w:val="99"/>
    <w:unhideWhenUsed/>
    <w:rsid w:val="008602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21D"/>
  </w:style>
  <w:style w:type="paragraph" w:styleId="FootnoteText">
    <w:name w:val="footnote text"/>
    <w:basedOn w:val="Normal"/>
    <w:link w:val="FootnoteTextChar"/>
    <w:uiPriority w:val="99"/>
    <w:semiHidden/>
    <w:unhideWhenUsed/>
    <w:rsid w:val="005C42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2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42FE"/>
    <w:rPr>
      <w:vertAlign w:val="superscript"/>
    </w:rPr>
  </w:style>
  <w:style w:type="paragraph" w:styleId="ListParagraph">
    <w:name w:val="List Paragraph"/>
    <w:basedOn w:val="Normal"/>
    <w:qFormat/>
    <w:rsid w:val="005C4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42F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C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75BC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7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3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3A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A4D7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BE2231"/>
    <w:rPr>
      <w:rFonts w:ascii="Arial" w:eastAsia="Arial" w:hAnsi="Arial" w:cs="Arial"/>
      <w:b/>
      <w:bCs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1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ece-bulgaria.eu/call/1st-call-for-common-project-proposals/" TargetMode="External"/><Relationship Id="rId13" Type="http://schemas.openxmlformats.org/officeDocument/2006/relationships/hyperlink" Target="https://www.greece-bulgaria.eu/project/flood-protection-2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reece-bulgaria.eu/call/call-for-targeted-project-proposal-_-project-of-strategic-importance-in-improvement-of-mobility/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eece-bulgaria.eu/call/call-for-targeted-project-proposal-_-capitalization-of-project-flood-protection-of-the-2014-2020-programming-period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reece-bulgaria.eu/project/crossbo-2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www.greece-bulgaria.eu/call/call-for-targeted-project-proposal-_-capitalization-of-project-flood-guard-of-the-2014-2020-programming-period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greece-bulgaria.eu/call/stage-b-1st-call-for-common-project-proposals/" TargetMode="External"/><Relationship Id="rId14" Type="http://schemas.openxmlformats.org/officeDocument/2006/relationships/hyperlink" Target="https://www.greece-bulgaria.eu/project/floodguard-2/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CD50A-599C-4D5E-B572-F213AA6E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NEVIANA LUBOMIROVA IONOVA</dc:creator>
  <cp:keywords/>
  <dc:description/>
  <cp:lastModifiedBy>MARTA ILIYANOVA TSVETANOVA-TOTEVA</cp:lastModifiedBy>
  <cp:revision>32</cp:revision>
  <dcterms:created xsi:type="dcterms:W3CDTF">2026-07-10T13:48:00Z</dcterms:created>
  <dcterms:modified xsi:type="dcterms:W3CDTF">2026-07-13T13:35:00Z</dcterms:modified>
</cp:coreProperties>
</file>